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2D59">
      <w:pPr>
        <w:adjustRightInd w:val="0"/>
        <w:snapToGrid w:val="0"/>
        <w:spacing w:line="560" w:lineRule="exact"/>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rPr>
        <w:t>证券代码：</w:t>
      </w:r>
      <w:r>
        <w:rPr>
          <w:rFonts w:ascii="Times New Roman" w:hAnsi="Times New Roman" w:eastAsia="宋体" w:cs="Times New Roman"/>
          <w:b w:val="0"/>
          <w:bCs/>
          <w:sz w:val="24"/>
          <w:szCs w:val="24"/>
        </w:rPr>
        <w:t xml:space="preserve">603191       </w:t>
      </w:r>
      <w:r>
        <w:rPr>
          <w:rFonts w:hint="default" w:ascii="Times New Roman" w:hAnsi="Times New Roman" w:eastAsia="宋体" w:cs="Times New Roman"/>
          <w:b w:val="0"/>
          <w:bCs/>
          <w:sz w:val="24"/>
          <w:szCs w:val="24"/>
        </w:rPr>
        <w:t xml:space="preserve">证券简称：望变电气 </w:t>
      </w:r>
      <w:r>
        <w:rPr>
          <w:rFonts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rPr>
        <w:t>公告编号：2</w:t>
      </w:r>
      <w:r>
        <w:rPr>
          <w:rFonts w:ascii="Times New Roman" w:hAnsi="Times New Roman" w:eastAsia="宋体" w:cs="Times New Roman"/>
          <w:b w:val="0"/>
          <w:bCs/>
          <w:sz w:val="24"/>
          <w:szCs w:val="24"/>
        </w:rPr>
        <w:t>02</w:t>
      </w:r>
      <w:r>
        <w:rPr>
          <w:rFonts w:hint="default" w:ascii="Times New Roman" w:hAnsi="Times New Roman" w:eastAsia="宋体" w:cs="Times New Roman"/>
          <w:b w:val="0"/>
          <w:bCs/>
          <w:sz w:val="24"/>
          <w:szCs w:val="24"/>
        </w:rPr>
        <w:t>4</w:t>
      </w:r>
      <w:r>
        <w:rPr>
          <w:rFonts w:ascii="Times New Roman" w:hAnsi="Times New Roman" w:eastAsia="宋体" w:cs="Times New Roman"/>
          <w:b w:val="0"/>
          <w:bCs/>
          <w:sz w:val="24"/>
          <w:szCs w:val="24"/>
        </w:rPr>
        <w:t>-0</w:t>
      </w:r>
      <w:r>
        <w:rPr>
          <w:rFonts w:hint="eastAsia" w:ascii="Times New Roman" w:hAnsi="Times New Roman" w:eastAsia="宋体" w:cs="Times New Roman"/>
          <w:b w:val="0"/>
          <w:bCs/>
          <w:sz w:val="24"/>
          <w:szCs w:val="24"/>
          <w:lang w:val="en-US" w:eastAsia="zh-CN"/>
        </w:rPr>
        <w:t>63</w:t>
      </w:r>
    </w:p>
    <w:p w14:paraId="13D96B2C">
      <w:pPr>
        <w:adjustRightInd w:val="0"/>
        <w:snapToGrid w:val="0"/>
        <w:spacing w:line="560" w:lineRule="exact"/>
        <w:jc w:val="left"/>
        <w:rPr>
          <w:rFonts w:hint="default" w:ascii="Times New Roman" w:hAnsi="Times New Roman" w:eastAsia="仿宋_GB2312" w:cs="Times New Roman"/>
          <w:sz w:val="30"/>
          <w:szCs w:val="30"/>
        </w:rPr>
      </w:pPr>
    </w:p>
    <w:p w14:paraId="3F61F4CA">
      <w:pPr>
        <w:adjustRightInd w:val="0"/>
        <w:snapToGrid w:val="0"/>
        <w:spacing w:before="156" w:beforeLines="50" w:line="560" w:lineRule="exact"/>
        <w:jc w:val="center"/>
        <w:rPr>
          <w:rFonts w:hint="default" w:ascii="Times New Roman" w:hAnsi="Times New Roman" w:eastAsia="宋体" w:cs="Times New Roman"/>
          <w:b/>
          <w:bCs/>
          <w:color w:val="FF0000"/>
          <w:sz w:val="36"/>
          <w:szCs w:val="36"/>
        </w:rPr>
      </w:pPr>
      <w:r>
        <w:rPr>
          <w:rFonts w:hint="default" w:ascii="Times New Roman" w:hAnsi="Times New Roman" w:eastAsia="宋体" w:cs="Times New Roman"/>
          <w:b/>
          <w:bCs/>
          <w:color w:val="FF0000"/>
          <w:sz w:val="36"/>
          <w:szCs w:val="36"/>
        </w:rPr>
        <w:t>重庆望变电气（集团）股份有限公司</w:t>
      </w:r>
    </w:p>
    <w:p w14:paraId="27DBDCE4">
      <w:pPr>
        <w:adjustRightInd w:val="0"/>
        <w:snapToGrid w:val="0"/>
        <w:spacing w:before="156" w:beforeLines="50" w:line="560" w:lineRule="exact"/>
        <w:jc w:val="center"/>
        <w:rPr>
          <w:rFonts w:hint="default" w:ascii="Times New Roman" w:hAnsi="Times New Roman" w:eastAsia="仿宋_GB2312" w:cs="Times New Roman"/>
          <w:b/>
          <w:bCs/>
          <w:color w:val="FF0000"/>
          <w:sz w:val="30"/>
          <w:szCs w:val="30"/>
        </w:rPr>
      </w:pPr>
      <w:r>
        <w:rPr>
          <w:rFonts w:hint="default" w:ascii="Times New Roman" w:hAnsi="Times New Roman" w:eastAsia="宋体" w:cs="Times New Roman"/>
          <w:b/>
          <w:bCs/>
          <w:color w:val="FF0000"/>
          <w:sz w:val="36"/>
          <w:szCs w:val="36"/>
        </w:rPr>
        <w:t>关于使用暂时闲置募集资金进行现金管理进展公告</w:t>
      </w:r>
    </w:p>
    <w:p w14:paraId="1538CBB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本公司董事会及全体董事保证本公告内容不存在任何虚假记载、误导性陈述或者重大遗漏，并对其内容的真实性、准确性和完整性承担法律责任。</w:t>
      </w:r>
    </w:p>
    <w:p w14:paraId="0E35E096">
      <w:pPr>
        <w:autoSpaceDE w:val="0"/>
        <w:autoSpaceDN w:val="0"/>
        <w:adjustRightInd w:val="0"/>
        <w:snapToGrid w:val="0"/>
        <w:spacing w:line="560" w:lineRule="exact"/>
        <w:rPr>
          <w:rFonts w:hint="default" w:ascii="Times New Roman" w:hAnsi="Times New Roman" w:eastAsia="宋体" w:cs="Times New Roman"/>
          <w:color w:val="000000"/>
          <w:sz w:val="24"/>
          <w:szCs w:val="24"/>
        </w:rPr>
      </w:pPr>
    </w:p>
    <w:p w14:paraId="72259C01">
      <w:pPr>
        <w:autoSpaceDE w:val="0"/>
        <w:autoSpaceDN w:val="0"/>
        <w:adjustRightInd w:val="0"/>
        <w:snapToGrid w:val="0"/>
        <w:spacing w:line="56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重要内容提示</w:t>
      </w:r>
    </w:p>
    <w:p w14:paraId="43437DC8">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投资种类：银行结构性存款</w:t>
      </w:r>
    </w:p>
    <w:p w14:paraId="7004D285">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投资金额：2,500万元</w:t>
      </w:r>
    </w:p>
    <w:p w14:paraId="04ABD665">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color w:val="000000"/>
          <w:sz w:val="24"/>
          <w:szCs w:val="24"/>
        </w:rPr>
      </w:pPr>
      <w:r>
        <w:rPr>
          <w:rFonts w:hint="default" w:ascii="Times New Roman" w:hAnsi="Times New Roman"/>
          <w:color w:val="000000"/>
          <w:sz w:val="24"/>
          <w:szCs w:val="24"/>
        </w:rPr>
        <w:t>履行的审议程序：重庆望变电气（集团）股份有限公司（以下简称“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1F064B5F">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b/>
          <w:color w:val="000000"/>
          <w:sz w:val="24"/>
          <w:szCs w:val="24"/>
        </w:rPr>
      </w:pPr>
      <w:r>
        <w:rPr>
          <w:rFonts w:hint="default" w:ascii="Times New Roman" w:hAnsi="Times New Roman"/>
          <w:color w:val="000000"/>
          <w:sz w:val="24"/>
          <w:szCs w:val="24"/>
        </w:rPr>
        <w:t>特别风险提示：公司本次购买的投资产品类型为保本浮动收益，属于谨慎型低风险投资产品。但金融市场受宏观经济的影响，不排除该投资受政策风险、市场风险、不可抗力及意外事件风险等因素影响，存在一定的投资风险。</w:t>
      </w:r>
    </w:p>
    <w:p w14:paraId="0AAA3531">
      <w:pPr>
        <w:pStyle w:val="15"/>
        <w:numPr>
          <w:ilvl w:val="0"/>
          <w:numId w:val="2"/>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本次现金管理概况</w:t>
      </w:r>
    </w:p>
    <w:p w14:paraId="21FC1B2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本次现金管理的目的</w:t>
      </w:r>
    </w:p>
    <w:p w14:paraId="5C25C076">
      <w:pPr>
        <w:autoSpaceDE w:val="0"/>
        <w:autoSpaceDN w:val="0"/>
        <w:adjustRightInd w:val="0"/>
        <w:snapToGrid w:val="0"/>
        <w:spacing w:line="560" w:lineRule="exact"/>
        <w:ind w:firstLine="480" w:firstLineChars="200"/>
        <w:jc w:val="left"/>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为提高本公司募集资金使用效率，在不影响募集资金项目建设和本公司正常经营的情况下，本公司将合理利用部分闲置募集资金进行现金管理，增加资金收益，为本公司及股东获取投资回报。</w:t>
      </w:r>
    </w:p>
    <w:p w14:paraId="7116F9A6">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本次现金管理的金额</w:t>
      </w:r>
    </w:p>
    <w:p w14:paraId="2BFADEB3">
      <w:pPr>
        <w:autoSpaceDE w:val="0"/>
        <w:autoSpaceDN w:val="0"/>
        <w:adjustRightInd w:val="0"/>
        <w:snapToGrid w:val="0"/>
        <w:spacing w:line="560" w:lineRule="exact"/>
        <w:ind w:left="482"/>
        <w:jc w:val="left"/>
        <w:rPr>
          <w:rFonts w:hint="default" w:ascii="Times New Roman" w:hAnsi="Times New Roman" w:eastAsia="宋体" w:cs="Times New Roman"/>
          <w:color w:val="000000"/>
          <w:sz w:val="24"/>
          <w:szCs w:val="24"/>
        </w:rPr>
      </w:pPr>
      <w:r>
        <w:rPr>
          <w:rFonts w:ascii="Times New Roman" w:hAnsi="Times New Roman" w:eastAsia="宋体" w:cs="Times New Roman"/>
          <w:sz w:val="24"/>
          <w:szCs w:val="24"/>
        </w:rPr>
        <w:t>公司本次</w:t>
      </w:r>
      <w:r>
        <w:rPr>
          <w:rFonts w:hint="default" w:ascii="Times New Roman" w:hAnsi="Times New Roman" w:eastAsia="宋体" w:cs="Times New Roman"/>
          <w:sz w:val="24"/>
          <w:szCs w:val="24"/>
        </w:rPr>
        <w:t>进行</w:t>
      </w:r>
      <w:r>
        <w:rPr>
          <w:rFonts w:ascii="Times New Roman" w:hAnsi="Times New Roman" w:eastAsia="宋体" w:cs="Times New Roman"/>
          <w:sz w:val="24"/>
          <w:szCs w:val="24"/>
        </w:rPr>
        <w:t>现金管理的金额</w:t>
      </w:r>
      <w:r>
        <w:rPr>
          <w:rFonts w:hint="default" w:ascii="Times New Roman" w:hAnsi="Times New Roman" w:eastAsia="宋体" w:cs="Times New Roman"/>
          <w:sz w:val="24"/>
          <w:szCs w:val="24"/>
        </w:rPr>
        <w:t>为2,500</w:t>
      </w:r>
      <w:r>
        <w:rPr>
          <w:rFonts w:ascii="Times New Roman" w:hAnsi="Times New Roman" w:eastAsia="宋体" w:cs="Times New Roman"/>
          <w:sz w:val="24"/>
          <w:szCs w:val="24"/>
        </w:rPr>
        <w:t>万元。</w:t>
      </w:r>
    </w:p>
    <w:p w14:paraId="69035C25">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本次资金来源</w:t>
      </w:r>
    </w:p>
    <w:p w14:paraId="31F81D16">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1、资金来源的一般情况</w:t>
      </w:r>
    </w:p>
    <w:p w14:paraId="589016BB">
      <w:pPr>
        <w:autoSpaceDE w:val="0"/>
        <w:autoSpaceDN w:val="0"/>
        <w:adjustRightInd w:val="0"/>
        <w:snapToGrid w:val="0"/>
        <w:spacing w:line="560" w:lineRule="exact"/>
        <w:ind w:left="48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本次现金管理的资金来源系公司首次公开发行股票的暂时闲置募集资金。</w:t>
      </w:r>
    </w:p>
    <w:p w14:paraId="6911F5D5">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2、募集资金基本情况</w:t>
      </w:r>
    </w:p>
    <w:p w14:paraId="2701E67D">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11BD8FCA">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上述募集资金已经全部存放于公司募集资金专户，公司已与保荐机构和存放募集资金的各商业银行签订《募集资金专户存储三方监管协议》。</w:t>
      </w:r>
    </w:p>
    <w:p w14:paraId="526DAE5C">
      <w:pPr>
        <w:autoSpaceDE w:val="0"/>
        <w:autoSpaceDN w:val="0"/>
        <w:adjustRightInd w:val="0"/>
        <w:snapToGrid w:val="0"/>
        <w:spacing w:line="560" w:lineRule="exact"/>
        <w:ind w:firstLine="480"/>
        <w:jc w:val="left"/>
        <w:rPr>
          <w:rFonts w:hint="default" w:ascii="Times New Roman" w:hAnsi="Times New Roman" w:cs="Times New Roman"/>
          <w:color w:val="000000"/>
          <w:sz w:val="24"/>
          <w:szCs w:val="24"/>
        </w:rPr>
      </w:pPr>
      <w:r>
        <w:rPr>
          <w:rFonts w:ascii="Times New Roman" w:hAnsi="Times New Roman" w:cs="Times New Roman"/>
          <w:color w:val="000000"/>
          <w:sz w:val="24"/>
          <w:szCs w:val="24"/>
        </w:rPr>
        <w:t>3</w:t>
      </w:r>
      <w:r>
        <w:rPr>
          <w:rFonts w:hint="default" w:ascii="Times New Roman" w:hAnsi="Times New Roman" w:cs="Times New Roman"/>
          <w:color w:val="000000"/>
          <w:sz w:val="24"/>
          <w:szCs w:val="24"/>
        </w:rPr>
        <w:t>、募集资金使用和管理情况</w:t>
      </w:r>
    </w:p>
    <w:p w14:paraId="090DC6AC">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为规范募集资金的管理和使用，公司根据《上海证券交易所股票上市规则》《上海证券交易所上市公司自律监管指引第1号——规范运作》《上市公司监管指引第2号——上市公司募集资金管理和使用的监管要求》等法律、法规的规定，结合本公司的实际情况，制定了《募集资金管理制度》。公司将严格按照规定使用募集资金。</w:t>
      </w:r>
    </w:p>
    <w:p w14:paraId="409FDFF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本次现金管理的投资情况</w:t>
      </w:r>
    </w:p>
    <w:p w14:paraId="17D2C04B">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公司近期与上海浦东发展银行股份有限公司重庆分行签署了结构性存款相关文件，并于2024年</w:t>
      </w:r>
      <w:r>
        <w:rPr>
          <w:rFonts w:hint="eastAsia"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12</w:t>
      </w:r>
      <w:r>
        <w:rPr>
          <w:rFonts w:hint="default" w:ascii="Times New Roman" w:hAnsi="Times New Roman" w:cs="Times New Roman"/>
          <w:color w:val="000000"/>
          <w:sz w:val="24"/>
          <w:szCs w:val="24"/>
        </w:rPr>
        <w:t>日购买了相关理财产品，该产品收益自2024年</w:t>
      </w:r>
      <w:r>
        <w:rPr>
          <w:rFonts w:hint="eastAsia"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14</w:t>
      </w:r>
      <w:r>
        <w:rPr>
          <w:rFonts w:hint="default" w:ascii="Times New Roman" w:hAnsi="Times New Roman" w:cs="Times New Roman"/>
          <w:color w:val="000000"/>
          <w:sz w:val="24"/>
          <w:szCs w:val="24"/>
        </w:rPr>
        <w:t>日起至202</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14</w:t>
      </w:r>
      <w:r>
        <w:rPr>
          <w:rFonts w:hint="default" w:ascii="Times New Roman" w:hAnsi="Times New Roman" w:cs="Times New Roman"/>
          <w:color w:val="000000"/>
          <w:sz w:val="24"/>
          <w:szCs w:val="24"/>
        </w:rPr>
        <w:t>日止，具体情况如下：</w:t>
      </w:r>
    </w:p>
    <w:tbl>
      <w:tblPr>
        <w:tblStyle w:val="9"/>
        <w:tblpPr w:leftFromText="180" w:rightFromText="180" w:vertAnchor="text" w:horzAnchor="margin" w:tblpXSpec="center" w:tblpY="2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50"/>
        <w:gridCol w:w="948"/>
        <w:gridCol w:w="1288"/>
        <w:gridCol w:w="1002"/>
        <w:gridCol w:w="1288"/>
        <w:gridCol w:w="1002"/>
        <w:gridCol w:w="970"/>
        <w:gridCol w:w="872"/>
      </w:tblGrid>
      <w:tr w14:paraId="3DE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 w:hRule="atLeast"/>
          <w:jc w:val="center"/>
        </w:trPr>
        <w:tc>
          <w:tcPr>
            <w:tcW w:w="1041" w:type="dxa"/>
            <w:vAlign w:val="center"/>
          </w:tcPr>
          <w:p w14:paraId="45380B57">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受托机构</w:t>
            </w:r>
          </w:p>
        </w:tc>
        <w:tc>
          <w:tcPr>
            <w:tcW w:w="939" w:type="dxa"/>
            <w:vAlign w:val="center"/>
          </w:tcPr>
          <w:p w14:paraId="6FB93746">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产品类型</w:t>
            </w:r>
          </w:p>
        </w:tc>
        <w:tc>
          <w:tcPr>
            <w:tcW w:w="1276" w:type="dxa"/>
            <w:vAlign w:val="center"/>
          </w:tcPr>
          <w:p w14:paraId="60D2993F">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产品名称</w:t>
            </w:r>
          </w:p>
        </w:tc>
        <w:tc>
          <w:tcPr>
            <w:tcW w:w="992" w:type="dxa"/>
            <w:vAlign w:val="center"/>
          </w:tcPr>
          <w:p w14:paraId="6FDD55B6">
            <w:pPr>
              <w:autoSpaceDE w:val="0"/>
              <w:autoSpaceDN w:val="0"/>
              <w:adjustRightInd w:val="0"/>
              <w:snapToGrid w:val="0"/>
              <w:jc w:val="center"/>
              <w:rPr>
                <w:rFonts w:ascii="Times New Roman" w:hAnsi="Times New Roman" w:cs="Times New Roman"/>
                <w:b/>
                <w:sz w:val="18"/>
                <w:szCs w:val="21"/>
              </w:rPr>
            </w:pPr>
            <w:r>
              <w:rPr>
                <w:rFonts w:ascii="Times New Roman" w:hAnsi="Times New Roman" w:cs="Times New Roman"/>
                <w:b/>
                <w:sz w:val="18"/>
                <w:szCs w:val="21"/>
              </w:rPr>
              <w:t>金额</w:t>
            </w:r>
          </w:p>
          <w:p w14:paraId="0037CB0E">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（万元）</w:t>
            </w:r>
          </w:p>
        </w:tc>
        <w:tc>
          <w:tcPr>
            <w:tcW w:w="1276" w:type="dxa"/>
            <w:vAlign w:val="center"/>
          </w:tcPr>
          <w:p w14:paraId="205B2520">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预计年化收益率</w:t>
            </w:r>
          </w:p>
        </w:tc>
        <w:tc>
          <w:tcPr>
            <w:tcW w:w="992" w:type="dxa"/>
            <w:vAlign w:val="center"/>
          </w:tcPr>
          <w:p w14:paraId="24199913">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产品期限（天）</w:t>
            </w:r>
          </w:p>
        </w:tc>
        <w:tc>
          <w:tcPr>
            <w:tcW w:w="961" w:type="dxa"/>
            <w:vAlign w:val="center"/>
          </w:tcPr>
          <w:p w14:paraId="1C997B47">
            <w:pPr>
              <w:pStyle w:val="15"/>
              <w:autoSpaceDE w:val="0"/>
              <w:autoSpaceDN w:val="0"/>
              <w:adjustRightInd w:val="0"/>
              <w:snapToGrid w:val="0"/>
              <w:spacing w:line="240" w:lineRule="auto"/>
              <w:ind w:firstLine="0" w:firstLineChars="0"/>
              <w:jc w:val="center"/>
              <w:rPr>
                <w:rFonts w:ascii="Times New Roman" w:hAnsi="Times New Roman"/>
                <w:b/>
                <w:sz w:val="21"/>
                <w:szCs w:val="21"/>
              </w:rPr>
            </w:pPr>
            <w:r>
              <w:rPr>
                <w:rFonts w:ascii="Times New Roman" w:hAnsi="Times New Roman"/>
                <w:b/>
                <w:sz w:val="21"/>
                <w:szCs w:val="21"/>
              </w:rPr>
              <w:t>收益类型</w:t>
            </w:r>
          </w:p>
        </w:tc>
        <w:tc>
          <w:tcPr>
            <w:tcW w:w="864" w:type="dxa"/>
            <w:vAlign w:val="center"/>
          </w:tcPr>
          <w:p w14:paraId="5F35BB92">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是否构成关联关系</w:t>
            </w:r>
          </w:p>
        </w:tc>
      </w:tr>
      <w:tr w14:paraId="3D8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1041" w:type="dxa"/>
            <w:vAlign w:val="center"/>
          </w:tcPr>
          <w:p w14:paraId="0F98BC7F">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上海浦东发展银行股份有限公司重庆分行</w:t>
            </w:r>
          </w:p>
        </w:tc>
        <w:tc>
          <w:tcPr>
            <w:tcW w:w="939" w:type="dxa"/>
            <w:vAlign w:val="center"/>
          </w:tcPr>
          <w:p w14:paraId="72D41961">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结构性存款</w:t>
            </w:r>
          </w:p>
        </w:tc>
        <w:tc>
          <w:tcPr>
            <w:tcW w:w="1276" w:type="dxa"/>
            <w:vAlign w:val="center"/>
          </w:tcPr>
          <w:p w14:paraId="45ACDC5E">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Cs w:val="21"/>
              </w:rPr>
              <w:t>利多多公司稳利24JG3505期(3个月早鸟款)人民币对公结构性存款</w:t>
            </w:r>
          </w:p>
        </w:tc>
        <w:tc>
          <w:tcPr>
            <w:tcW w:w="992" w:type="dxa"/>
            <w:vAlign w:val="center"/>
          </w:tcPr>
          <w:p w14:paraId="7F5D0A99">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2</w:t>
            </w:r>
            <w:r>
              <w:rPr>
                <w:rFonts w:ascii="Times New Roman" w:hAnsi="Times New Roman"/>
                <w:color w:val="000000"/>
                <w:sz w:val="21"/>
                <w:szCs w:val="21"/>
              </w:rPr>
              <w:t>,</w:t>
            </w:r>
            <w:r>
              <w:rPr>
                <w:rFonts w:hint="default" w:ascii="Times New Roman" w:hAnsi="Times New Roman"/>
                <w:color w:val="000000"/>
                <w:sz w:val="21"/>
                <w:szCs w:val="21"/>
              </w:rPr>
              <w:t>5</w:t>
            </w:r>
            <w:r>
              <w:rPr>
                <w:rFonts w:ascii="Times New Roman" w:hAnsi="Times New Roman"/>
                <w:color w:val="000000"/>
                <w:sz w:val="21"/>
                <w:szCs w:val="21"/>
              </w:rPr>
              <w:t>00.00</w:t>
            </w:r>
          </w:p>
        </w:tc>
        <w:tc>
          <w:tcPr>
            <w:tcW w:w="1276" w:type="dxa"/>
            <w:vAlign w:val="center"/>
          </w:tcPr>
          <w:p w14:paraId="082778F7">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1.</w:t>
            </w:r>
            <w:r>
              <w:rPr>
                <w:rFonts w:hint="eastAsia" w:ascii="Times New Roman" w:hAnsi="Times New Roman"/>
                <w:color w:val="000000"/>
                <w:sz w:val="21"/>
                <w:szCs w:val="21"/>
                <w:lang w:val="en-US" w:eastAsia="zh-CN"/>
              </w:rPr>
              <w:t>10</w:t>
            </w:r>
            <w:r>
              <w:rPr>
                <w:rFonts w:hint="default" w:ascii="Times New Roman" w:hAnsi="Times New Roman"/>
                <w:color w:val="000000"/>
                <w:sz w:val="21"/>
                <w:szCs w:val="21"/>
              </w:rPr>
              <w:t>%-2.</w:t>
            </w:r>
            <w:r>
              <w:rPr>
                <w:rFonts w:hint="eastAsia" w:ascii="Times New Roman" w:hAnsi="Times New Roman"/>
                <w:color w:val="000000"/>
                <w:sz w:val="21"/>
                <w:szCs w:val="21"/>
                <w:lang w:val="en-US" w:eastAsia="zh-CN"/>
              </w:rPr>
              <w:t>40</w:t>
            </w:r>
            <w:r>
              <w:rPr>
                <w:rFonts w:hint="default" w:ascii="Times New Roman" w:hAnsi="Times New Roman"/>
                <w:color w:val="000000"/>
                <w:sz w:val="21"/>
                <w:szCs w:val="21"/>
              </w:rPr>
              <w:t>%</w:t>
            </w:r>
          </w:p>
        </w:tc>
        <w:tc>
          <w:tcPr>
            <w:tcW w:w="992" w:type="dxa"/>
            <w:vAlign w:val="center"/>
          </w:tcPr>
          <w:p w14:paraId="5CB16E67">
            <w:pPr>
              <w:pStyle w:val="15"/>
              <w:autoSpaceDE w:val="0"/>
              <w:autoSpaceDN w:val="0"/>
              <w:adjustRightInd w:val="0"/>
              <w:snapToGrid w:val="0"/>
              <w:spacing w:line="240" w:lineRule="auto"/>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77/90</w:t>
            </w:r>
          </w:p>
        </w:tc>
        <w:tc>
          <w:tcPr>
            <w:tcW w:w="961" w:type="dxa"/>
            <w:vAlign w:val="center"/>
          </w:tcPr>
          <w:p w14:paraId="6E336C05">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保本浮动收益型</w:t>
            </w:r>
          </w:p>
        </w:tc>
        <w:tc>
          <w:tcPr>
            <w:tcW w:w="864" w:type="dxa"/>
            <w:vAlign w:val="center"/>
          </w:tcPr>
          <w:p w14:paraId="767F3993">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否</w:t>
            </w:r>
          </w:p>
        </w:tc>
      </w:tr>
    </w:tbl>
    <w:p w14:paraId="33EA549F">
      <w:pPr>
        <w:adjustRightInd w:val="0"/>
        <w:snapToGrid w:val="0"/>
        <w:spacing w:before="156" w:beforeLines="50" w:line="360" w:lineRule="auto"/>
        <w:ind w:firstLine="482" w:firstLineChars="200"/>
        <w:rPr>
          <w:rFonts w:hint="default" w:ascii="Times New Roman" w:hAnsi="Times New Roman" w:eastAsia="宋体" w:cs="Times New Roman"/>
          <w:b/>
          <w:color w:val="000000"/>
          <w:sz w:val="24"/>
          <w:szCs w:val="24"/>
          <w:lang w:val="en-US" w:eastAsia="zh-CN"/>
        </w:rPr>
      </w:pPr>
      <w:r>
        <w:rPr>
          <w:rFonts w:hint="eastAsia" w:ascii="Times New Roman" w:hAnsi="Times New Roman" w:eastAsia="宋体" w:cs="Times New Roman"/>
          <w:b/>
          <w:color w:val="000000"/>
          <w:sz w:val="24"/>
          <w:szCs w:val="24"/>
          <w:lang w:val="en-US" w:eastAsia="zh-CN"/>
        </w:rPr>
        <w:t>注：产品有效期自2024年10月14日至2024年12月31日，2025年1月1日至2025年1月14日（该段有效期经公司董事会或股东会审批后生效），若公司未及时组织</w:t>
      </w:r>
      <w:bookmarkStart w:id="0" w:name="_GoBack"/>
      <w:bookmarkEnd w:id="0"/>
      <w:r>
        <w:rPr>
          <w:rFonts w:hint="eastAsia" w:ascii="Times New Roman" w:hAnsi="Times New Roman" w:eastAsia="宋体" w:cs="Times New Roman"/>
          <w:b/>
          <w:color w:val="000000"/>
          <w:sz w:val="24"/>
          <w:szCs w:val="24"/>
          <w:lang w:val="en-US" w:eastAsia="zh-CN"/>
        </w:rPr>
        <w:t>相应董事会或股东会，产品有效期为77天。</w:t>
      </w:r>
    </w:p>
    <w:p w14:paraId="73948EAF">
      <w:pPr>
        <w:adjustRightInd w:val="0"/>
        <w:snapToGrid w:val="0"/>
        <w:spacing w:before="156" w:beforeLines="50" w:line="360" w:lineRule="auto"/>
        <w:ind w:firstLine="482" w:firstLineChars="200"/>
        <w:rPr>
          <w:rFonts w:hint="default" w:ascii="Times New Roman" w:hAnsi="Times New Roman" w:cs="Times New Roman"/>
          <w:b/>
          <w:color w:val="000000"/>
          <w:sz w:val="24"/>
          <w:szCs w:val="24"/>
        </w:rPr>
      </w:pPr>
      <w:r>
        <w:rPr>
          <w:rFonts w:hint="default" w:ascii="Times New Roman" w:hAnsi="Times New Roman" w:eastAsia="宋体" w:cs="Times New Roman"/>
          <w:b/>
          <w:color w:val="000000"/>
          <w:sz w:val="24"/>
          <w:szCs w:val="24"/>
        </w:rPr>
        <w:t>二、</w:t>
      </w:r>
      <w:r>
        <w:rPr>
          <w:rFonts w:hint="default" w:ascii="Times New Roman" w:hAnsi="Times New Roman" w:cs="Times New Roman"/>
          <w:b/>
          <w:color w:val="000000"/>
          <w:sz w:val="24"/>
          <w:szCs w:val="24"/>
        </w:rPr>
        <w:t>审议程序</w:t>
      </w:r>
    </w:p>
    <w:p w14:paraId="39B4DB68">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7C6AA5F3">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eastAsia="宋体" w:cs="Times New Roman"/>
          <w:b/>
          <w:color w:val="000000"/>
          <w:sz w:val="24"/>
          <w:szCs w:val="24"/>
        </w:rPr>
        <w:t>三、</w:t>
      </w:r>
      <w:r>
        <w:rPr>
          <w:rFonts w:ascii="Times New Roman" w:hAnsi="Times New Roman" w:cs="Times New Roman"/>
          <w:b/>
          <w:sz w:val="24"/>
          <w:szCs w:val="24"/>
        </w:rPr>
        <w:t>风险控制措施</w:t>
      </w:r>
    </w:p>
    <w:p w14:paraId="5F03A98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公司按照决策、执行、监督职能相分离的原则建立健全现金管理的审批和执行程序，确保购买事宜的有效开展和规范运行，确保资金安全。拟采取的具体措施如下：</w:t>
      </w:r>
    </w:p>
    <w:p w14:paraId="479E2FF6">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1</w:t>
      </w:r>
      <w:r>
        <w:rPr>
          <w:rFonts w:hint="default" w:ascii="Times New Roman" w:hAnsi="Times New Roman" w:eastAsia="宋体" w:cs="Times New Roman"/>
          <w:sz w:val="24"/>
          <w:szCs w:val="24"/>
        </w:rPr>
        <w:t>、公司财务部门相关人员将及时分析和跟踪所投资产品的投向、项目进展情况，如评估发现存在可能影响公司资金安全的风险因素，将及时采取相应的措施，控制投资风险。</w:t>
      </w:r>
    </w:p>
    <w:p w14:paraId="28937D67">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2</w:t>
      </w:r>
      <w:r>
        <w:rPr>
          <w:rFonts w:hint="default" w:ascii="Times New Roman" w:hAnsi="Times New Roman" w:eastAsia="宋体" w:cs="Times New Roman"/>
          <w:sz w:val="24"/>
          <w:szCs w:val="24"/>
        </w:rPr>
        <w:t>、公司审计部门负责对资金的使用与保管情况进行审计与监督。</w:t>
      </w:r>
    </w:p>
    <w:p w14:paraId="59E817A5">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3</w:t>
      </w:r>
      <w:r>
        <w:rPr>
          <w:rFonts w:hint="default" w:ascii="Times New Roman" w:hAnsi="Times New Roman" w:eastAsia="宋体" w:cs="Times New Roman"/>
          <w:sz w:val="24"/>
          <w:szCs w:val="24"/>
        </w:rPr>
        <w:t>、独立董事、监事会有权对资金使用情况进行监督与检查，必要时可以聘请专业机构进行审计。</w:t>
      </w:r>
    </w:p>
    <w:p w14:paraId="503BAAD3">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4</w:t>
      </w:r>
      <w:r>
        <w:rPr>
          <w:rFonts w:hint="default" w:ascii="Times New Roman" w:hAnsi="Times New Roman" w:eastAsia="宋体" w:cs="Times New Roman"/>
          <w:sz w:val="24"/>
          <w:szCs w:val="24"/>
        </w:rPr>
        <w:t>、公司财务部门必须建立台账对购买的现金管理产品进行管理，建立健全会计账目，做好资金使用的账务核算工作。</w:t>
      </w:r>
    </w:p>
    <w:p w14:paraId="1871F1EB">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5</w:t>
      </w:r>
      <w:r>
        <w:rPr>
          <w:rFonts w:hint="default" w:ascii="Times New Roman" w:hAnsi="Times New Roman" w:eastAsia="宋体" w:cs="Times New Roman"/>
          <w:sz w:val="24"/>
          <w:szCs w:val="24"/>
        </w:rPr>
        <w:t>、公司将依据上海证券交易所的相关规定，履行信息披露义务。</w:t>
      </w:r>
    </w:p>
    <w:p w14:paraId="11D77E9A">
      <w:pPr>
        <w:adjustRightInd w:val="0"/>
        <w:snapToGrid w:val="0"/>
        <w:spacing w:line="360" w:lineRule="auto"/>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四、对公司的影响</w:t>
      </w:r>
    </w:p>
    <w:p w14:paraId="36C6E918">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一</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公司最近一年及一期财务指标情况</w:t>
      </w:r>
    </w:p>
    <w:p w14:paraId="72B764EB">
      <w:pPr>
        <w:adjustRightInd w:val="0"/>
        <w:snapToGrid w:val="0"/>
        <w:spacing w:line="240" w:lineRule="auto"/>
        <w:ind w:firstLine="0" w:firstLineChars="0"/>
        <w:jc w:val="righ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4"/>
        <w:gridCol w:w="2589"/>
        <w:gridCol w:w="2589"/>
      </w:tblGrid>
      <w:tr w14:paraId="1E70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0BC8E5A7">
            <w:pPr>
              <w:adjustRightInd w:val="0"/>
              <w:snapToGrid w:val="0"/>
              <w:spacing w:line="240" w:lineRule="auto"/>
              <w:jc w:val="center"/>
              <w:rPr>
                <w:rFonts w:hint="eastAsia"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财务</w:t>
            </w:r>
            <w:r>
              <w:rPr>
                <w:rFonts w:hint="eastAsia" w:ascii="Times New Roman" w:hAnsi="Times New Roman" w:eastAsia="宋体" w:cs="Times New Roman"/>
                <w:b/>
                <w:color w:val="000000"/>
                <w:szCs w:val="21"/>
              </w:rPr>
              <w:t>指标</w:t>
            </w:r>
          </w:p>
        </w:tc>
        <w:tc>
          <w:tcPr>
            <w:tcW w:w="2520" w:type="dxa"/>
            <w:vAlign w:val="center"/>
          </w:tcPr>
          <w:p w14:paraId="7D65C317">
            <w:pPr>
              <w:adjustRightInd w:val="0"/>
              <w:snapToGrid w:val="0"/>
              <w:spacing w:line="240" w:lineRule="auto"/>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4年</w:t>
            </w:r>
            <w:r>
              <w:rPr>
                <w:rFonts w:hint="eastAsia" w:ascii="Times New Roman" w:hAnsi="Times New Roman" w:eastAsia="宋体" w:cs="Times New Roman"/>
                <w:b/>
                <w:color w:val="000000"/>
                <w:sz w:val="21"/>
                <w:szCs w:val="21"/>
                <w:lang w:val="en-US" w:eastAsia="zh-CN"/>
              </w:rPr>
              <w:t>6</w:t>
            </w:r>
            <w:r>
              <w:rPr>
                <w:rFonts w:hint="default" w:ascii="Times New Roman" w:hAnsi="Times New Roman" w:eastAsia="宋体" w:cs="Times New Roman"/>
                <w:b/>
                <w:color w:val="000000"/>
                <w:sz w:val="21"/>
                <w:szCs w:val="21"/>
              </w:rPr>
              <w:t>月3</w:t>
            </w:r>
            <w:r>
              <w:rPr>
                <w:rFonts w:hint="eastAsia" w:ascii="Times New Roman" w:hAnsi="Times New Roman" w:eastAsia="宋体" w:cs="Times New Roman"/>
                <w:b/>
                <w:color w:val="000000"/>
                <w:sz w:val="21"/>
                <w:szCs w:val="21"/>
                <w:lang w:val="en-US" w:eastAsia="zh-CN"/>
              </w:rPr>
              <w:t>0</w:t>
            </w:r>
            <w:r>
              <w:rPr>
                <w:rFonts w:hint="default" w:ascii="Times New Roman" w:hAnsi="Times New Roman" w:eastAsia="宋体" w:cs="Times New Roman"/>
                <w:b/>
                <w:color w:val="000000"/>
                <w:sz w:val="21"/>
                <w:szCs w:val="21"/>
              </w:rPr>
              <w:t>日</w:t>
            </w:r>
            <w:r>
              <w:rPr>
                <w:rFonts w:hint="eastAsia" w:ascii="Times New Roman" w:hAnsi="Times New Roman" w:eastAsia="宋体" w:cs="Times New Roman"/>
                <w:b/>
                <w:color w:val="000000"/>
                <w:szCs w:val="21"/>
              </w:rPr>
              <w:t>/2024年1-</w:t>
            </w:r>
            <w:r>
              <w:rPr>
                <w:rFonts w:hint="eastAsia" w:ascii="Times New Roman" w:hAnsi="Times New Roman" w:eastAsia="宋体" w:cs="Times New Roman"/>
                <w:b/>
                <w:color w:val="000000"/>
                <w:szCs w:val="21"/>
                <w:lang w:val="en-US" w:eastAsia="zh-CN"/>
              </w:rPr>
              <w:t>6</w:t>
            </w:r>
            <w:r>
              <w:rPr>
                <w:rFonts w:hint="eastAsia" w:ascii="Times New Roman" w:hAnsi="Times New Roman" w:eastAsia="宋体" w:cs="Times New Roman"/>
                <w:b/>
                <w:color w:val="000000"/>
                <w:szCs w:val="21"/>
              </w:rPr>
              <w:t>月</w:t>
            </w:r>
            <w:r>
              <w:rPr>
                <w:rFonts w:hint="default" w:ascii="Times New Roman" w:hAnsi="Times New Roman" w:eastAsia="宋体" w:cs="Times New Roman"/>
                <w:b/>
                <w:color w:val="000000"/>
                <w:sz w:val="21"/>
                <w:szCs w:val="21"/>
              </w:rPr>
              <w:t>（未经审计）</w:t>
            </w:r>
          </w:p>
        </w:tc>
        <w:tc>
          <w:tcPr>
            <w:tcW w:w="2520" w:type="dxa"/>
            <w:vAlign w:val="center"/>
          </w:tcPr>
          <w:p w14:paraId="051FB5E8">
            <w:pPr>
              <w:adjustRightInd w:val="0"/>
              <w:snapToGrid w:val="0"/>
              <w:jc w:val="center"/>
              <w:rPr>
                <w:rFonts w:ascii="Times New Roman" w:hAnsi="Times New Roman" w:eastAsia="宋体" w:cs="Times New Roman"/>
                <w:b/>
                <w:color w:val="000000"/>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3年1</w:t>
            </w:r>
            <w:r>
              <w:rPr>
                <w:rFonts w:ascii="Times New Roman" w:hAnsi="Times New Roman" w:eastAsia="宋体" w:cs="Times New Roman"/>
                <w:b/>
                <w:color w:val="000000"/>
                <w:sz w:val="21"/>
                <w:szCs w:val="21"/>
              </w:rPr>
              <w:t>2</w:t>
            </w:r>
            <w:r>
              <w:rPr>
                <w:rFonts w:hint="default" w:ascii="Times New Roman" w:hAnsi="Times New Roman" w:eastAsia="宋体" w:cs="Times New Roman"/>
                <w:b/>
                <w:color w:val="000000"/>
                <w:sz w:val="21"/>
                <w:szCs w:val="21"/>
              </w:rPr>
              <w:t>月3</w:t>
            </w:r>
            <w:r>
              <w:rPr>
                <w:rFonts w:ascii="Times New Roman" w:hAnsi="Times New Roman" w:eastAsia="宋体" w:cs="Times New Roman"/>
                <w:b/>
                <w:color w:val="000000"/>
                <w:sz w:val="21"/>
                <w:szCs w:val="21"/>
              </w:rPr>
              <w:t>1</w:t>
            </w:r>
            <w:r>
              <w:rPr>
                <w:rFonts w:hint="default" w:ascii="Times New Roman" w:hAnsi="Times New Roman" w:eastAsia="宋体" w:cs="Times New Roman"/>
                <w:b/>
                <w:color w:val="000000"/>
                <w:sz w:val="21"/>
                <w:szCs w:val="21"/>
              </w:rPr>
              <w:t>日</w:t>
            </w:r>
            <w:r>
              <w:rPr>
                <w:rFonts w:hint="eastAsia" w:ascii="Times New Roman" w:hAnsi="Times New Roman" w:eastAsia="宋体" w:cs="Times New Roman"/>
                <w:b/>
                <w:color w:val="000000"/>
                <w:szCs w:val="21"/>
              </w:rPr>
              <w:t>/</w:t>
            </w:r>
          </w:p>
          <w:p w14:paraId="31E610A5">
            <w:pPr>
              <w:adjustRightInd w:val="0"/>
              <w:snapToGrid w:val="0"/>
              <w:spacing w:line="240" w:lineRule="auto"/>
              <w:jc w:val="center"/>
              <w:rPr>
                <w:rFonts w:hint="eastAsia" w:ascii="Times New Roman" w:hAnsi="Times New Roman" w:eastAsia="宋体" w:cs="Times New Roman"/>
                <w:b/>
                <w:color w:val="000000"/>
                <w:sz w:val="21"/>
                <w:szCs w:val="21"/>
              </w:rPr>
            </w:pPr>
            <w:r>
              <w:rPr>
                <w:rFonts w:hint="eastAsia" w:ascii="Times New Roman" w:hAnsi="Times New Roman" w:eastAsia="宋体" w:cs="Times New Roman"/>
                <w:b/>
                <w:color w:val="000000"/>
                <w:szCs w:val="21"/>
              </w:rPr>
              <w:t>2023年度</w:t>
            </w:r>
          </w:p>
        </w:tc>
      </w:tr>
      <w:tr w14:paraId="3F72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B671E34">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资产总额</w:t>
            </w:r>
          </w:p>
        </w:tc>
        <w:tc>
          <w:tcPr>
            <w:tcW w:w="2520" w:type="dxa"/>
            <w:vAlign w:val="center"/>
          </w:tcPr>
          <w:p w14:paraId="6A35462E">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Cs w:val="21"/>
              </w:rPr>
              <w:t>640,872.95</w:t>
            </w:r>
          </w:p>
        </w:tc>
        <w:tc>
          <w:tcPr>
            <w:tcW w:w="2520" w:type="dxa"/>
            <w:vAlign w:val="center"/>
          </w:tcPr>
          <w:p w14:paraId="7DF4ECAF">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487,524.19</w:t>
            </w:r>
          </w:p>
        </w:tc>
      </w:tr>
      <w:tr w14:paraId="4EA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C7F429B">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负债总额</w:t>
            </w:r>
          </w:p>
        </w:tc>
        <w:tc>
          <w:tcPr>
            <w:tcW w:w="2520" w:type="dxa"/>
            <w:vAlign w:val="center"/>
          </w:tcPr>
          <w:p w14:paraId="09001AAC">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Cs w:val="21"/>
              </w:rPr>
              <w:t>389</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239</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8</w:t>
            </w:r>
            <w:r>
              <w:rPr>
                <w:rFonts w:hint="eastAsia" w:ascii="Times New Roman" w:hAnsi="Times New Roman" w:eastAsia="宋体" w:cs="Times New Roman"/>
                <w:szCs w:val="21"/>
                <w:lang w:val="en-US" w:eastAsia="zh-CN"/>
              </w:rPr>
              <w:t>9</w:t>
            </w:r>
          </w:p>
        </w:tc>
        <w:tc>
          <w:tcPr>
            <w:tcW w:w="2520" w:type="dxa"/>
            <w:vAlign w:val="center"/>
          </w:tcPr>
          <w:p w14:paraId="57DFE6F4">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248</w:t>
            </w:r>
            <w:r>
              <w:rPr>
                <w:rFonts w:hint="default" w:ascii="Times New Roman" w:hAnsi="Times New Roman" w:eastAsia="宋体" w:cs="Times New Roman"/>
                <w:sz w:val="21"/>
                <w:szCs w:val="21"/>
              </w:rPr>
              <w:t>,</w:t>
            </w:r>
            <w:r>
              <w:rPr>
                <w:rFonts w:ascii="Times New Roman" w:hAnsi="Times New Roman" w:eastAsia="宋体" w:cs="Times New Roman"/>
                <w:sz w:val="21"/>
                <w:szCs w:val="21"/>
              </w:rPr>
              <w:t>443</w:t>
            </w:r>
            <w:r>
              <w:rPr>
                <w:rFonts w:hint="default" w:ascii="Times New Roman" w:hAnsi="Times New Roman" w:eastAsia="宋体" w:cs="Times New Roman"/>
                <w:sz w:val="21"/>
                <w:szCs w:val="21"/>
              </w:rPr>
              <w:t>.</w:t>
            </w:r>
            <w:r>
              <w:rPr>
                <w:rFonts w:ascii="Times New Roman" w:hAnsi="Times New Roman" w:eastAsia="宋体" w:cs="Times New Roman"/>
                <w:sz w:val="21"/>
                <w:szCs w:val="21"/>
              </w:rPr>
              <w:t>3</w:t>
            </w:r>
            <w:r>
              <w:rPr>
                <w:rFonts w:hint="default" w:ascii="Times New Roman" w:hAnsi="Times New Roman" w:eastAsia="宋体" w:cs="Times New Roman"/>
                <w:sz w:val="21"/>
                <w:szCs w:val="21"/>
              </w:rPr>
              <w:t>5</w:t>
            </w:r>
          </w:p>
        </w:tc>
      </w:tr>
      <w:tr w14:paraId="390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07590D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归属于上市公司股东的净资产</w:t>
            </w:r>
          </w:p>
        </w:tc>
        <w:tc>
          <w:tcPr>
            <w:tcW w:w="2520" w:type="dxa"/>
            <w:vAlign w:val="center"/>
          </w:tcPr>
          <w:p w14:paraId="134B65B2">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Cs w:val="21"/>
              </w:rPr>
              <w:t xml:space="preserve"> 238,495.36</w:t>
            </w:r>
          </w:p>
        </w:tc>
        <w:tc>
          <w:tcPr>
            <w:tcW w:w="2520" w:type="dxa"/>
            <w:vAlign w:val="center"/>
          </w:tcPr>
          <w:p w14:paraId="69D45B3A">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239,080.85</w:t>
            </w:r>
          </w:p>
        </w:tc>
      </w:tr>
      <w:tr w14:paraId="196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3DD2F3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经营活动产生的现金流量净额</w:t>
            </w:r>
          </w:p>
        </w:tc>
        <w:tc>
          <w:tcPr>
            <w:tcW w:w="2520" w:type="dxa"/>
            <w:vAlign w:val="center"/>
          </w:tcPr>
          <w:p w14:paraId="1B4A47BC">
            <w:pPr>
              <w:adjustRightInd w:val="0"/>
              <w:snapToGrid w:val="0"/>
              <w:spacing w:line="24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Cs w:val="21"/>
              </w:rPr>
              <w:t xml:space="preserve"> -29,537.17</w:t>
            </w:r>
          </w:p>
        </w:tc>
        <w:tc>
          <w:tcPr>
            <w:tcW w:w="2520" w:type="dxa"/>
            <w:vAlign w:val="center"/>
          </w:tcPr>
          <w:p w14:paraId="306BD12A">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29,186.40</w:t>
            </w:r>
          </w:p>
        </w:tc>
      </w:tr>
    </w:tbl>
    <w:p w14:paraId="25B3D0DC">
      <w:pPr>
        <w:adjustRightInd w:val="0"/>
        <w:snapToGrid w:val="0"/>
        <w:spacing w:before="156" w:beforeLines="50" w:line="360" w:lineRule="auto"/>
        <w:ind w:firstLine="360" w:firstLineChars="15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（二）对公司的影响</w:t>
      </w:r>
    </w:p>
    <w:p w14:paraId="01D0FD2F">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公司本次使用部分闲置募集资金购买银行结构性存款是根据公司经营发展和财务状况，在确保公司募投项目所需资金和保证募集资金安全的前提下进行的，履行了必要的法定程序，有助于提高募集资金使用效率，不影响公司主营业务的正常发展，不影响募投项目的正常进行，不存在变相改变募集资金用途的行为。通过进行适度的低风险短期理财，对部分闲置的募集资金适时进行现金管理，能获得一定的投资收益，有利于进一步提升公司整体业绩水平，为公司和股东谋取更多的投资回报。</w:t>
      </w:r>
    </w:p>
    <w:p w14:paraId="16FC2724">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rPr>
        <w:t>五、截止本公告日，公司最近十二个月闲置募集资金进行现金管理的情况</w:t>
      </w:r>
    </w:p>
    <w:p w14:paraId="19735C60">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（一）活期协议存款</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70"/>
        <w:gridCol w:w="3021"/>
        <w:gridCol w:w="2158"/>
        <w:gridCol w:w="1379"/>
        <w:gridCol w:w="1291"/>
      </w:tblGrid>
      <w:tr w14:paraId="052B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75D94285">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序号</w:t>
            </w:r>
          </w:p>
        </w:tc>
        <w:tc>
          <w:tcPr>
            <w:tcW w:w="2977" w:type="dxa"/>
            <w:vAlign w:val="center"/>
          </w:tcPr>
          <w:p w14:paraId="55887666">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募集资金投资项目</w:t>
            </w:r>
          </w:p>
        </w:tc>
        <w:tc>
          <w:tcPr>
            <w:tcW w:w="2126" w:type="dxa"/>
            <w:noWrap/>
            <w:vAlign w:val="center"/>
          </w:tcPr>
          <w:p w14:paraId="6502FD31">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开户银行</w:t>
            </w:r>
          </w:p>
        </w:tc>
        <w:tc>
          <w:tcPr>
            <w:tcW w:w="1359" w:type="dxa"/>
            <w:noWrap/>
            <w:vAlign w:val="center"/>
          </w:tcPr>
          <w:p w14:paraId="27441610">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募集资金专用账号</w:t>
            </w:r>
          </w:p>
        </w:tc>
        <w:tc>
          <w:tcPr>
            <w:tcW w:w="1272" w:type="dxa"/>
            <w:noWrap/>
            <w:vAlign w:val="center"/>
          </w:tcPr>
          <w:p w14:paraId="77D5F884">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截止2024年</w:t>
            </w:r>
            <w:r>
              <w:rPr>
                <w:rFonts w:hint="eastAsia" w:ascii="Times New Roman" w:hAnsi="Times New Roman" w:cs="Times New Roman"/>
                <w:b/>
                <w:bCs/>
                <w:kern w:val="0"/>
                <w:sz w:val="21"/>
                <w:szCs w:val="21"/>
                <w:lang w:val="en-US" w:eastAsia="zh-CN" w:bidi="ar"/>
              </w:rPr>
              <w:t>10</w:t>
            </w:r>
            <w:r>
              <w:rPr>
                <w:rFonts w:ascii="Times New Roman" w:hAnsi="Times New Roman" w:cs="Times New Roman"/>
                <w:b/>
                <w:bCs/>
                <w:kern w:val="0"/>
                <w:sz w:val="21"/>
                <w:szCs w:val="21"/>
                <w:lang w:bidi="ar"/>
              </w:rPr>
              <w:t>月</w:t>
            </w:r>
            <w:r>
              <w:rPr>
                <w:rFonts w:hint="eastAsia" w:ascii="Times New Roman" w:hAnsi="Times New Roman" w:cs="Times New Roman"/>
                <w:b/>
                <w:bCs/>
                <w:kern w:val="0"/>
                <w:sz w:val="21"/>
                <w:szCs w:val="21"/>
                <w:lang w:val="en-US" w:eastAsia="zh-CN" w:bidi="ar"/>
              </w:rPr>
              <w:t>14</w:t>
            </w:r>
            <w:r>
              <w:rPr>
                <w:rFonts w:ascii="Times New Roman" w:hAnsi="Times New Roman" w:cs="Times New Roman"/>
                <w:b/>
                <w:bCs/>
                <w:kern w:val="0"/>
                <w:sz w:val="21"/>
                <w:szCs w:val="21"/>
                <w:lang w:bidi="ar"/>
              </w:rPr>
              <w:t>日</w:t>
            </w:r>
            <w:r>
              <w:rPr>
                <w:rFonts w:hint="default" w:ascii="Times New Roman" w:hAnsi="Times New Roman" w:cs="Times New Roman"/>
                <w:b/>
                <w:bCs/>
                <w:kern w:val="0"/>
                <w:sz w:val="21"/>
                <w:szCs w:val="21"/>
                <w:lang w:bidi="ar"/>
              </w:rPr>
              <w:t>协议</w:t>
            </w:r>
            <w:r>
              <w:rPr>
                <w:rFonts w:ascii="Times New Roman" w:hAnsi="Times New Roman" w:cs="Times New Roman"/>
                <w:b/>
                <w:bCs/>
                <w:kern w:val="0"/>
                <w:sz w:val="21"/>
                <w:szCs w:val="21"/>
                <w:lang w:bidi="ar"/>
              </w:rPr>
              <w:t>存款余额</w:t>
            </w:r>
            <w:r>
              <w:rPr>
                <w:rFonts w:hint="default" w:ascii="Times New Roman" w:hAnsi="Times New Roman" w:cs="Times New Roman"/>
                <w:b/>
                <w:bCs/>
                <w:kern w:val="0"/>
                <w:sz w:val="21"/>
                <w:szCs w:val="21"/>
                <w:lang w:bidi="ar"/>
              </w:rPr>
              <w:t>（万元）</w:t>
            </w:r>
          </w:p>
        </w:tc>
      </w:tr>
      <w:tr w14:paraId="5367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1657CE74">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w:t>
            </w:r>
          </w:p>
        </w:tc>
        <w:tc>
          <w:tcPr>
            <w:tcW w:w="2977" w:type="dxa"/>
            <w:vAlign w:val="center"/>
          </w:tcPr>
          <w:p w14:paraId="7EC23747">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智能成套电气设备产业基地建设项目、智控设备及金属制品智能工厂建设项目（一期）</w:t>
            </w:r>
          </w:p>
        </w:tc>
        <w:tc>
          <w:tcPr>
            <w:tcW w:w="2126" w:type="dxa"/>
            <w:vAlign w:val="center"/>
          </w:tcPr>
          <w:p w14:paraId="3DEB72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哈尔滨银行股份有限公司重庆分行</w:t>
            </w:r>
          </w:p>
        </w:tc>
        <w:tc>
          <w:tcPr>
            <w:tcW w:w="1359" w:type="dxa"/>
            <w:noWrap/>
            <w:vAlign w:val="center"/>
          </w:tcPr>
          <w:p w14:paraId="55791DEF">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18010000001689409</w:t>
            </w:r>
          </w:p>
        </w:tc>
        <w:tc>
          <w:tcPr>
            <w:tcW w:w="1272" w:type="dxa"/>
            <w:noWrap/>
            <w:vAlign w:val="center"/>
          </w:tcPr>
          <w:p w14:paraId="4EA9BC05">
            <w:pPr>
              <w:widowControl/>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8,081.61 </w:t>
            </w:r>
          </w:p>
        </w:tc>
      </w:tr>
      <w:tr w14:paraId="069B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4C616A4B">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2</w:t>
            </w:r>
          </w:p>
        </w:tc>
        <w:tc>
          <w:tcPr>
            <w:tcW w:w="2977" w:type="dxa"/>
            <w:vAlign w:val="center"/>
          </w:tcPr>
          <w:p w14:paraId="0F5286C3">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110kV及以下节能型变压器智能化工厂技改项目</w:t>
            </w:r>
          </w:p>
        </w:tc>
        <w:tc>
          <w:tcPr>
            <w:tcW w:w="2126" w:type="dxa"/>
            <w:vAlign w:val="center"/>
          </w:tcPr>
          <w:p w14:paraId="6B819A84">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重庆三峡银行股份有限公司长寿支行</w:t>
            </w:r>
          </w:p>
        </w:tc>
        <w:tc>
          <w:tcPr>
            <w:tcW w:w="1359" w:type="dxa"/>
            <w:noWrap/>
            <w:vAlign w:val="center"/>
          </w:tcPr>
          <w:p w14:paraId="35FE1F9D">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0153016820000020</w:t>
            </w:r>
          </w:p>
        </w:tc>
        <w:tc>
          <w:tcPr>
            <w:tcW w:w="1272" w:type="dxa"/>
            <w:noWrap/>
            <w:vAlign w:val="center"/>
          </w:tcPr>
          <w:p w14:paraId="39D2124C">
            <w:pPr>
              <w:widowControl/>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2,679.18 </w:t>
            </w:r>
          </w:p>
        </w:tc>
      </w:tr>
      <w:tr w14:paraId="393E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2F77B376">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3</w:t>
            </w:r>
          </w:p>
        </w:tc>
        <w:tc>
          <w:tcPr>
            <w:tcW w:w="2977" w:type="dxa"/>
            <w:vAlign w:val="center"/>
          </w:tcPr>
          <w:p w14:paraId="56E48E48">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研发中心及信息化建设项目</w:t>
            </w:r>
          </w:p>
        </w:tc>
        <w:tc>
          <w:tcPr>
            <w:tcW w:w="2126" w:type="dxa"/>
            <w:vAlign w:val="center"/>
          </w:tcPr>
          <w:p w14:paraId="21BE67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上海浦东发展银行股份有限公司重庆分行</w:t>
            </w:r>
          </w:p>
        </w:tc>
        <w:tc>
          <w:tcPr>
            <w:tcW w:w="1359" w:type="dxa"/>
            <w:noWrap/>
            <w:vAlign w:val="center"/>
          </w:tcPr>
          <w:p w14:paraId="422279AE">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83260078801700000608</w:t>
            </w:r>
          </w:p>
        </w:tc>
        <w:tc>
          <w:tcPr>
            <w:tcW w:w="1272" w:type="dxa"/>
            <w:noWrap/>
            <w:vAlign w:val="center"/>
          </w:tcPr>
          <w:p w14:paraId="4E8AA078">
            <w:pPr>
              <w:widowControl/>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681.25 </w:t>
            </w:r>
          </w:p>
        </w:tc>
      </w:tr>
      <w:tr w14:paraId="5C92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7024" w:type="dxa"/>
            <w:gridSpan w:val="4"/>
            <w:noWrap/>
            <w:vAlign w:val="center"/>
          </w:tcPr>
          <w:p w14:paraId="43FFD74D">
            <w:pPr>
              <w:jc w:val="center"/>
              <w:rPr>
                <w:rFonts w:hint="eastAsia" w:ascii="Times New Roman" w:hAnsi="Times New Roman" w:cs="Times New Roman"/>
                <w:b/>
                <w:bCs/>
                <w:sz w:val="21"/>
                <w:szCs w:val="21"/>
              </w:rPr>
            </w:pPr>
            <w:r>
              <w:rPr>
                <w:rFonts w:hint="default" w:ascii="Times New Roman" w:hAnsi="Times New Roman" w:cs="Times New Roman"/>
                <w:b/>
                <w:bCs/>
                <w:sz w:val="21"/>
                <w:szCs w:val="21"/>
              </w:rPr>
              <w:t>小计</w:t>
            </w:r>
          </w:p>
        </w:tc>
        <w:tc>
          <w:tcPr>
            <w:tcW w:w="1272" w:type="dxa"/>
            <w:noWrap/>
            <w:vAlign w:val="center"/>
          </w:tcPr>
          <w:p w14:paraId="4B63ECB7">
            <w:pPr>
              <w:widowControl/>
              <w:jc w:val="right"/>
              <w:textAlignment w:val="center"/>
              <w:rPr>
                <w:rFonts w:hint="default" w:ascii="Times New Roman" w:hAnsi="Times New Roman" w:cs="Times New Roman"/>
                <w:b/>
                <w:bCs/>
                <w:sz w:val="21"/>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11,442.04</w:t>
            </w:r>
            <w:r>
              <w:rPr>
                <w:rFonts w:hint="eastAsia" w:ascii="宋体" w:hAnsi="宋体" w:eastAsia="宋体" w:cs="宋体"/>
                <w:i w:val="0"/>
                <w:iCs w:val="0"/>
                <w:color w:val="000000"/>
                <w:kern w:val="0"/>
                <w:sz w:val="22"/>
                <w:szCs w:val="22"/>
                <w:u w:val="none"/>
                <w:lang w:val="en-US" w:eastAsia="zh-CN" w:bidi="ar"/>
              </w:rPr>
              <w:t xml:space="preserve"> </w:t>
            </w:r>
          </w:p>
        </w:tc>
      </w:tr>
    </w:tbl>
    <w:p w14:paraId="48D435D8">
      <w:pPr>
        <w:adjustRightInd w:val="0"/>
        <w:snapToGri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注：该部分</w:t>
      </w:r>
      <w:r>
        <w:rPr>
          <w:rFonts w:hint="eastAsia" w:ascii="Times New Roman" w:hAnsi="Times New Roman" w:cs="Times New Roman"/>
          <w:sz w:val="21"/>
          <w:szCs w:val="21"/>
          <w:lang w:val="en-US" w:eastAsia="zh-CN"/>
        </w:rPr>
        <w:t>系</w:t>
      </w:r>
      <w:r>
        <w:rPr>
          <w:rFonts w:hint="default" w:ascii="Times New Roman" w:hAnsi="Times New Roman" w:cs="Times New Roman"/>
          <w:sz w:val="21"/>
          <w:szCs w:val="21"/>
        </w:rPr>
        <w:t>活期协议存款购买</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经公司于2024年4月24日召开的第四届董事会第五次会议和第四届监事会第四次会议审议通过，保荐机构和监事会发表了同意意见。具体内容详见公司披露的《关于使用暂时闲置募集资金进行现金管理的公告》（公告编号：2024-035）。</w:t>
      </w:r>
    </w:p>
    <w:p w14:paraId="64DFED72">
      <w:pPr>
        <w:adjustRightInd w:val="0"/>
        <w:snapToGrid w:val="0"/>
        <w:spacing w:before="156" w:beforeLines="50" w:line="360" w:lineRule="auto"/>
        <w:ind w:firstLine="480" w:firstLineChars="200"/>
        <w:rPr>
          <w:rFonts w:hint="default" w:ascii="Times New Roman" w:hAnsi="Times New Roman" w:cs="Times New Roman"/>
          <w:sz w:val="24"/>
          <w:szCs w:val="24"/>
          <w:highlight w:val="yellow"/>
        </w:rPr>
      </w:pPr>
      <w:r>
        <w:rPr>
          <w:rFonts w:hint="default" w:ascii="Times New Roman" w:hAnsi="Times New Roman" w:cs="Times New Roman"/>
          <w:sz w:val="24"/>
          <w:szCs w:val="24"/>
        </w:rPr>
        <w:t>因该部分现金管理系活期性质，随时取用</w:t>
      </w:r>
      <w:r>
        <w:rPr>
          <w:rFonts w:hint="eastAsia" w:ascii="Times New Roman" w:hAnsi="Times New Roman" w:cs="Times New Roman"/>
          <w:sz w:val="24"/>
          <w:szCs w:val="24"/>
        </w:rPr>
        <w:t>、</w:t>
      </w:r>
      <w:r>
        <w:rPr>
          <w:rFonts w:hint="default" w:ascii="Times New Roman" w:hAnsi="Times New Roman" w:cs="Times New Roman"/>
          <w:sz w:val="24"/>
          <w:szCs w:val="24"/>
        </w:rPr>
        <w:t>未另外开立资金账户</w:t>
      </w:r>
      <w:r>
        <w:rPr>
          <w:rFonts w:hint="eastAsia" w:ascii="Times New Roman" w:hAnsi="Times New Roman" w:cs="Times New Roman"/>
          <w:sz w:val="24"/>
          <w:szCs w:val="24"/>
        </w:rPr>
        <w:t>、</w:t>
      </w:r>
      <w:r>
        <w:rPr>
          <w:rFonts w:hint="default" w:ascii="Times New Roman" w:hAnsi="Times New Roman" w:cs="Times New Roman"/>
          <w:sz w:val="24"/>
          <w:szCs w:val="24"/>
        </w:rPr>
        <w:t>不存在资金划付或赎回情况，故公司未对其购买行为进行单独公告</w:t>
      </w:r>
      <w:r>
        <w:rPr>
          <w:rFonts w:hint="eastAsia" w:ascii="Times New Roman" w:hAnsi="Times New Roman" w:cs="Times New Roman"/>
          <w:sz w:val="24"/>
          <w:szCs w:val="24"/>
        </w:rPr>
        <w:t>。</w:t>
      </w:r>
      <w:r>
        <w:rPr>
          <w:rFonts w:hint="default" w:ascii="Times New Roman" w:hAnsi="Times New Roman" w:cs="Times New Roman"/>
          <w:sz w:val="24"/>
          <w:szCs w:val="24"/>
        </w:rPr>
        <w:t>公司</w:t>
      </w:r>
      <w:r>
        <w:rPr>
          <w:rFonts w:hint="eastAsia" w:ascii="Times New Roman" w:hAnsi="Times New Roman" w:cs="Times New Roman"/>
          <w:sz w:val="24"/>
          <w:szCs w:val="24"/>
          <w:lang w:val="en-US" w:eastAsia="zh-CN"/>
        </w:rPr>
        <w:t>在各期《</w:t>
      </w:r>
      <w:r>
        <w:rPr>
          <w:rFonts w:hint="default" w:ascii="Times New Roman" w:hAnsi="Times New Roman" w:cs="Times New Roman"/>
          <w:sz w:val="24"/>
          <w:szCs w:val="24"/>
        </w:rPr>
        <w:t>募集资金存放与使用情况的专项报告</w:t>
      </w:r>
      <w:r>
        <w:rPr>
          <w:rFonts w:hint="eastAsia" w:ascii="Times New Roman" w:hAnsi="Times New Roman" w:cs="Times New Roman"/>
          <w:sz w:val="24"/>
          <w:szCs w:val="24"/>
          <w:lang w:val="en-US" w:eastAsia="zh-CN"/>
        </w:rPr>
        <w:t>》中对其进行了</w:t>
      </w:r>
      <w:r>
        <w:rPr>
          <w:rFonts w:hint="default" w:ascii="Times New Roman" w:hAnsi="Times New Roman" w:cs="Times New Roman"/>
          <w:sz w:val="24"/>
          <w:szCs w:val="24"/>
        </w:rPr>
        <w:t>统一披露。</w:t>
      </w:r>
    </w:p>
    <w:p w14:paraId="17B815C1">
      <w:pPr>
        <w:adjustRightInd w:val="0"/>
        <w:snapToGrid w:val="0"/>
        <w:spacing w:line="360" w:lineRule="auto"/>
        <w:ind w:firstLine="480"/>
        <w:rPr>
          <w:rFonts w:hint="default" w:ascii="Times New Roman" w:hAnsi="Times New Roman" w:cs="Times New Roman"/>
          <w:b/>
          <w:sz w:val="24"/>
          <w:szCs w:val="24"/>
          <w:highlight w:val="yellow"/>
        </w:rPr>
      </w:pPr>
      <w:r>
        <w:rPr>
          <w:rFonts w:hint="default" w:ascii="Times New Roman" w:hAnsi="Times New Roman" w:cs="Times New Roman"/>
          <w:b/>
          <w:sz w:val="24"/>
          <w:szCs w:val="24"/>
        </w:rPr>
        <w:t>六、风险提示</w:t>
      </w:r>
    </w:p>
    <w:p w14:paraId="6D650A20">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公司本次在上海浦东发展银行股份有限公司重庆分行购买的结构性存款属于保本浮动收益，属于谨慎型低风险投资产品。但金融市场受宏观经济的影响，不排除该投资受政策风险、市场风险、不可抗力及意外事件风险等因素影响，存在一定的投资风险。</w:t>
      </w:r>
    </w:p>
    <w:p w14:paraId="787E2EE9">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七、备查文件</w:t>
      </w:r>
    </w:p>
    <w:p w14:paraId="67ACA5BF">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1、《对公结构性存款产品合同》</w:t>
      </w:r>
    </w:p>
    <w:p w14:paraId="175A351F">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2、《上海浦东发展银行对公结构性存款产品说明书及风险揭示书》。</w:t>
      </w:r>
    </w:p>
    <w:p w14:paraId="0F25A50B">
      <w:pPr>
        <w:adjustRightInd w:val="0"/>
        <w:snapToGrid w:val="0"/>
        <w:spacing w:line="360" w:lineRule="auto"/>
        <w:ind w:firstLine="480"/>
        <w:rPr>
          <w:rFonts w:hint="default" w:ascii="Times New Roman" w:hAnsi="Times New Roman" w:cs="Times New Roman"/>
          <w:sz w:val="24"/>
          <w:szCs w:val="24"/>
        </w:rPr>
      </w:pPr>
    </w:p>
    <w:p w14:paraId="6C37A70D">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特此公告。</w:t>
      </w:r>
    </w:p>
    <w:p w14:paraId="472F1FCB">
      <w:pPr>
        <w:adjustRightInd w:val="0"/>
        <w:snapToGrid w:val="0"/>
        <w:spacing w:line="560" w:lineRule="exact"/>
        <w:ind w:firstLine="480" w:firstLineChars="200"/>
        <w:rPr>
          <w:rFonts w:hint="default" w:ascii="Times New Roman" w:hAnsi="Times New Roman" w:eastAsia="宋体" w:cs="Times New Roman"/>
          <w:color w:val="000000"/>
          <w:sz w:val="24"/>
          <w:szCs w:val="24"/>
        </w:rPr>
      </w:pPr>
    </w:p>
    <w:p w14:paraId="506B3704">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重庆望变电气（集团）</w:t>
      </w:r>
      <w:r>
        <w:rPr>
          <w:rFonts w:hint="default" w:ascii="Times New Roman" w:hAnsi="Times New Roman" w:eastAsia="宋体" w:cs="Times New Roman"/>
          <w:color w:val="000000"/>
          <w:sz w:val="24"/>
          <w:szCs w:val="24"/>
        </w:rPr>
        <w:t>股份有限公司董事会</w:t>
      </w:r>
    </w:p>
    <w:p w14:paraId="201416F9">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default" w:ascii="Times New Roman" w:hAnsi="Times New Roman" w:eastAsia="宋体" w:cs="Times New Roman"/>
          <w:color w:val="000000"/>
          <w:sz w:val="24"/>
          <w:szCs w:val="24"/>
        </w:rPr>
        <w:t>4年</w:t>
      </w:r>
      <w:r>
        <w:rPr>
          <w:rFonts w:hint="eastAsia"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15</w:t>
      </w:r>
      <w:r>
        <w:rPr>
          <w:rFonts w:hint="default" w:ascii="Times New Roman" w:hAnsi="Times New Roman" w:eastAsia="宋体" w:cs="Times New Roman"/>
          <w:color w:val="000000"/>
          <w:sz w:val="24"/>
          <w:szCs w:val="24"/>
        </w:rPr>
        <w:t>日</w:t>
      </w:r>
    </w:p>
    <w:p w14:paraId="44B49A38">
      <w:pPr>
        <w:adjustRightInd w:val="0"/>
        <w:snapToGrid w:val="0"/>
        <w:spacing w:line="560" w:lineRule="exact"/>
        <w:ind w:firstLine="480" w:firstLineChars="200"/>
        <w:rPr>
          <w:rFonts w:hint="default" w:ascii="Times New Roman" w:hAnsi="Times New Roman" w:eastAsia="宋体" w:cs="Times New Roman"/>
          <w:kern w:val="0"/>
          <w:sz w:val="24"/>
          <w:szCs w:val="24"/>
        </w:rPr>
      </w:pPr>
    </w:p>
    <w:p w14:paraId="0E87D75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6FAE65D5">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2002816"/>
    <w:multiLevelType w:val="multilevel"/>
    <w:tmpl w:val="7200281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E0C57EA"/>
    <w:multiLevelType w:val="multilevel"/>
    <w:tmpl w:val="7E0C57EA"/>
    <w:lvl w:ilvl="0" w:tentative="0">
      <w:start w:val="1"/>
      <w:numFmt w:val="japaneseCounting"/>
      <w:lvlText w:val="（%1）"/>
      <w:lvlJc w:val="left"/>
      <w:pPr>
        <w:ind w:left="1238" w:hanging="756"/>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9608F"/>
    <w:rsid w:val="000A1C86"/>
    <w:rsid w:val="000A7515"/>
    <w:rsid w:val="000A7B4D"/>
    <w:rsid w:val="000B1A1F"/>
    <w:rsid w:val="000C22DE"/>
    <w:rsid w:val="000E49B8"/>
    <w:rsid w:val="00123266"/>
    <w:rsid w:val="00127276"/>
    <w:rsid w:val="00140439"/>
    <w:rsid w:val="00140B9E"/>
    <w:rsid w:val="0014777F"/>
    <w:rsid w:val="001723E5"/>
    <w:rsid w:val="00192BD0"/>
    <w:rsid w:val="0019396F"/>
    <w:rsid w:val="001A727A"/>
    <w:rsid w:val="001A7942"/>
    <w:rsid w:val="001C0BDC"/>
    <w:rsid w:val="001D06C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B6291"/>
    <w:rsid w:val="003E1591"/>
    <w:rsid w:val="003E38F1"/>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22BE2"/>
    <w:rsid w:val="005429C2"/>
    <w:rsid w:val="0055216A"/>
    <w:rsid w:val="00571712"/>
    <w:rsid w:val="005A0F7F"/>
    <w:rsid w:val="005A2954"/>
    <w:rsid w:val="005B7B64"/>
    <w:rsid w:val="006150E2"/>
    <w:rsid w:val="00637BC1"/>
    <w:rsid w:val="00646D1E"/>
    <w:rsid w:val="006678F9"/>
    <w:rsid w:val="006704CD"/>
    <w:rsid w:val="0068179D"/>
    <w:rsid w:val="00685C65"/>
    <w:rsid w:val="006E4DD1"/>
    <w:rsid w:val="006F53AF"/>
    <w:rsid w:val="00701AEA"/>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C53E7"/>
    <w:rsid w:val="008E100D"/>
    <w:rsid w:val="008E2655"/>
    <w:rsid w:val="008E4A66"/>
    <w:rsid w:val="009014AA"/>
    <w:rsid w:val="0090186C"/>
    <w:rsid w:val="00905CD3"/>
    <w:rsid w:val="00915D39"/>
    <w:rsid w:val="00923C08"/>
    <w:rsid w:val="00947C32"/>
    <w:rsid w:val="009700CD"/>
    <w:rsid w:val="009773E8"/>
    <w:rsid w:val="00984373"/>
    <w:rsid w:val="0098723C"/>
    <w:rsid w:val="009923C5"/>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581F"/>
    <w:rsid w:val="00AF6E63"/>
    <w:rsid w:val="00B055A6"/>
    <w:rsid w:val="00B11E7E"/>
    <w:rsid w:val="00B35BB5"/>
    <w:rsid w:val="00B6730B"/>
    <w:rsid w:val="00B9137C"/>
    <w:rsid w:val="00B950AB"/>
    <w:rsid w:val="00BB61B6"/>
    <w:rsid w:val="00BC233A"/>
    <w:rsid w:val="00BC3776"/>
    <w:rsid w:val="00BD4D0F"/>
    <w:rsid w:val="00BE011D"/>
    <w:rsid w:val="00BE4CBC"/>
    <w:rsid w:val="00BE4EFA"/>
    <w:rsid w:val="00BE5ABC"/>
    <w:rsid w:val="00BF7BDB"/>
    <w:rsid w:val="00C13691"/>
    <w:rsid w:val="00C33F7B"/>
    <w:rsid w:val="00C47186"/>
    <w:rsid w:val="00C67FD6"/>
    <w:rsid w:val="00C76A66"/>
    <w:rsid w:val="00C970AE"/>
    <w:rsid w:val="00CA1688"/>
    <w:rsid w:val="00CB58B2"/>
    <w:rsid w:val="00CB781A"/>
    <w:rsid w:val="00CD5091"/>
    <w:rsid w:val="00D17468"/>
    <w:rsid w:val="00D20821"/>
    <w:rsid w:val="00D4059C"/>
    <w:rsid w:val="00D45861"/>
    <w:rsid w:val="00D46F41"/>
    <w:rsid w:val="00D613FF"/>
    <w:rsid w:val="00D65BA4"/>
    <w:rsid w:val="00D67CA6"/>
    <w:rsid w:val="00D8189C"/>
    <w:rsid w:val="00DA6213"/>
    <w:rsid w:val="00DB744D"/>
    <w:rsid w:val="00DC0C91"/>
    <w:rsid w:val="00DC31F3"/>
    <w:rsid w:val="00DD62E6"/>
    <w:rsid w:val="00DF3192"/>
    <w:rsid w:val="00DF6AC3"/>
    <w:rsid w:val="00DF73E8"/>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F3EA0"/>
    <w:rsid w:val="00FF7741"/>
    <w:rsid w:val="08E22254"/>
    <w:rsid w:val="098D7D5C"/>
    <w:rsid w:val="0C17088B"/>
    <w:rsid w:val="0D2016D6"/>
    <w:rsid w:val="100A1203"/>
    <w:rsid w:val="10583F02"/>
    <w:rsid w:val="17640487"/>
    <w:rsid w:val="19405189"/>
    <w:rsid w:val="1B8D41D9"/>
    <w:rsid w:val="1F044F32"/>
    <w:rsid w:val="20B00A53"/>
    <w:rsid w:val="2398593D"/>
    <w:rsid w:val="25E42F4C"/>
    <w:rsid w:val="26501867"/>
    <w:rsid w:val="30D84FA4"/>
    <w:rsid w:val="32B0063D"/>
    <w:rsid w:val="379B1039"/>
    <w:rsid w:val="3ED22960"/>
    <w:rsid w:val="410C1F6F"/>
    <w:rsid w:val="443D49E5"/>
    <w:rsid w:val="44C85FCB"/>
    <w:rsid w:val="44E2699F"/>
    <w:rsid w:val="4512047F"/>
    <w:rsid w:val="4B526B56"/>
    <w:rsid w:val="4F773B1F"/>
    <w:rsid w:val="5150387B"/>
    <w:rsid w:val="521827E2"/>
    <w:rsid w:val="539E1492"/>
    <w:rsid w:val="54AE55F2"/>
    <w:rsid w:val="54CA7B2B"/>
    <w:rsid w:val="569025B7"/>
    <w:rsid w:val="5C3D37F6"/>
    <w:rsid w:val="635C21C8"/>
    <w:rsid w:val="66E539EB"/>
    <w:rsid w:val="68B34579"/>
    <w:rsid w:val="6A6C62AD"/>
    <w:rsid w:val="6D711AC2"/>
    <w:rsid w:val="7153734A"/>
    <w:rsid w:val="72592739"/>
    <w:rsid w:val="72640AD5"/>
    <w:rsid w:val="72F755BC"/>
    <w:rsid w:val="75016695"/>
    <w:rsid w:val="76983471"/>
    <w:rsid w:val="77D11EA6"/>
    <w:rsid w:val="789E0D97"/>
    <w:rsid w:val="7BB03862"/>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2640</Words>
  <Characters>3003</Characters>
  <Lines>22</Lines>
  <Paragraphs>6</Paragraphs>
  <TotalTime>71</TotalTime>
  <ScaleCrop>false</ScaleCrop>
  <LinksUpToDate>false</LinksUpToDate>
  <CharactersWithSpaces>3029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2024-08-02T02:27:00Z</dcterms:created>
  <dc:creator>BJB-ZB-03</dc:creator>
  <cp:lastModifiedBy>雯亦</cp:lastModifiedBy>
  <dcterms:modified xsi:type="dcterms:W3CDTF">2024-10-14T10:56:20Z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8628C19AFEBB48629841E6470A0C2612_13</vt:lpwstr>
  </property>
</Properties>
</file>