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9E375">
      <w:pPr>
        <w:adjustRightInd w:val="0"/>
        <w:snapToGrid w:val="0"/>
        <w:spacing w:line="560" w:lineRule="exact"/>
        <w:jc w:val="left"/>
        <w:rPr>
          <w:rFonts w:hint="default" w:ascii="宋体" w:hAnsi="宋体" w:eastAsia="宋体"/>
          <w:b/>
          <w:sz w:val="24"/>
          <w:szCs w:val="24"/>
          <w:highlight w:val="none"/>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4</w:t>
      </w:r>
      <w:r>
        <w:rPr>
          <w:rFonts w:ascii="宋体" w:hAnsi="宋体" w:eastAsia="宋体"/>
          <w:b/>
          <w:sz w:val="24"/>
          <w:szCs w:val="24"/>
        </w:rPr>
        <w:t>-</w:t>
      </w:r>
      <w:r>
        <w:rPr>
          <w:rFonts w:ascii="宋体" w:hAnsi="宋体" w:eastAsia="宋体"/>
          <w:b/>
          <w:sz w:val="24"/>
          <w:szCs w:val="24"/>
          <w:highlight w:val="none"/>
        </w:rPr>
        <w:t>0</w:t>
      </w:r>
      <w:r>
        <w:rPr>
          <w:rFonts w:hint="eastAsia" w:ascii="宋体" w:hAnsi="宋体" w:eastAsia="宋体"/>
          <w:b/>
          <w:sz w:val="24"/>
          <w:szCs w:val="24"/>
          <w:highlight w:val="none"/>
          <w:lang w:val="en-US" w:eastAsia="zh-CN"/>
        </w:rPr>
        <w:t>79</w:t>
      </w:r>
    </w:p>
    <w:p w14:paraId="6181FEA6">
      <w:pPr>
        <w:adjustRightInd w:val="0"/>
        <w:snapToGrid w:val="0"/>
        <w:spacing w:line="560" w:lineRule="exact"/>
        <w:jc w:val="left"/>
        <w:rPr>
          <w:rFonts w:ascii="仿宋" w:hAnsi="仿宋" w:eastAsia="仿宋_GB2312"/>
          <w:sz w:val="30"/>
          <w:szCs w:val="30"/>
        </w:rPr>
      </w:pPr>
    </w:p>
    <w:p w14:paraId="4823A442">
      <w:pPr>
        <w:adjustRightInd w:val="0"/>
        <w:snapToGrid w:val="0"/>
        <w:spacing w:before="156" w:beforeLines="50" w:line="560" w:lineRule="exact"/>
        <w:jc w:val="center"/>
        <w:outlineLvl w:val="0"/>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06F1BBA6">
      <w:pPr>
        <w:adjustRightInd w:val="0"/>
        <w:snapToGrid w:val="0"/>
        <w:spacing w:before="156" w:beforeLines="50" w:line="560" w:lineRule="exact"/>
        <w:jc w:val="center"/>
        <w:outlineLvl w:val="0"/>
        <w:rPr>
          <w:rFonts w:ascii="宋体" w:hAnsi="宋体" w:eastAsia="宋体" w:cs="仿宋_GB2312"/>
          <w:b/>
          <w:bCs/>
          <w:color w:val="FF0000"/>
          <w:sz w:val="36"/>
          <w:szCs w:val="36"/>
        </w:rPr>
      </w:pPr>
      <w:r>
        <w:rPr>
          <w:rFonts w:hint="eastAsia" w:ascii="宋体" w:hAnsi="宋体" w:eastAsia="宋体" w:cs="仿宋_GB2312"/>
          <w:b/>
          <w:bCs/>
          <w:color w:val="FF0000"/>
          <w:sz w:val="36"/>
          <w:szCs w:val="36"/>
        </w:rPr>
        <w:t>关于开展外汇套期保值业务的公告</w:t>
      </w:r>
    </w:p>
    <w:p w14:paraId="00BBA721">
      <w:pPr>
        <w:adjustRightInd w:val="0"/>
        <w:snapToGrid w:val="0"/>
        <w:spacing w:before="156" w:beforeLines="50" w:line="560" w:lineRule="exact"/>
        <w:jc w:val="center"/>
        <w:rPr>
          <w:rFonts w:ascii="仿宋_GB2312" w:hAnsi="仿宋_GB2312" w:eastAsia="仿宋_GB2312" w:cs="仿宋_GB2312"/>
          <w:b/>
          <w:bCs/>
          <w:color w:val="FF0000"/>
          <w:sz w:val="30"/>
          <w:szCs w:val="30"/>
        </w:rPr>
      </w:pPr>
    </w:p>
    <w:p w14:paraId="4336AE91">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宋体" w:hAnsi="宋体" w:eastAsia="宋体"/>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color w:val="000000"/>
          <w:sz w:val="24"/>
          <w:szCs w:val="24"/>
        </w:rPr>
        <w:t>。</w:t>
      </w:r>
    </w:p>
    <w:p w14:paraId="00FBE60A">
      <w:pPr>
        <w:adjustRightInd w:val="0"/>
        <w:snapToGrid w:val="0"/>
        <w:spacing w:line="560" w:lineRule="exact"/>
        <w:ind w:firstLine="482" w:firstLineChars="200"/>
        <w:rPr>
          <w:rFonts w:asciiTheme="minorEastAsia" w:hAnsiTheme="minorEastAsia"/>
          <w:b/>
          <w:sz w:val="24"/>
          <w:szCs w:val="24"/>
        </w:rPr>
      </w:pPr>
      <w:r>
        <w:rPr>
          <w:rFonts w:hint="eastAsia" w:asciiTheme="minorEastAsia" w:hAnsiTheme="minorEastAsia"/>
          <w:b/>
          <w:sz w:val="24"/>
          <w:szCs w:val="24"/>
        </w:rPr>
        <w:t>重要内容提示：</w:t>
      </w:r>
    </w:p>
    <w:p w14:paraId="430A9B76">
      <w:pPr>
        <w:numPr>
          <w:ilvl w:val="0"/>
          <w:numId w:val="1"/>
        </w:numPr>
        <w:adjustRightInd w:val="0"/>
        <w:snapToGrid w:val="0"/>
        <w:spacing w:line="560" w:lineRule="exact"/>
        <w:ind w:left="420" w:leftChars="0" w:hanging="420" w:firstLineChars="0"/>
        <w:rPr>
          <w:rFonts w:asciiTheme="minorEastAsia" w:hAnsiTheme="minorEastAsia"/>
          <w:bCs/>
          <w:sz w:val="24"/>
          <w:szCs w:val="24"/>
        </w:rPr>
      </w:pPr>
      <w:r>
        <w:rPr>
          <w:rFonts w:hint="eastAsia" w:asciiTheme="minorEastAsia" w:hAnsiTheme="minorEastAsia"/>
          <w:bCs/>
          <w:sz w:val="24"/>
          <w:szCs w:val="24"/>
        </w:rPr>
        <w:t>交易目的：套期保值</w:t>
      </w:r>
    </w:p>
    <w:p w14:paraId="1407AD06">
      <w:pPr>
        <w:numPr>
          <w:ilvl w:val="0"/>
          <w:numId w:val="1"/>
        </w:numPr>
        <w:adjustRightInd w:val="0"/>
        <w:snapToGrid w:val="0"/>
        <w:spacing w:line="560" w:lineRule="exact"/>
        <w:ind w:left="420" w:leftChars="0" w:hanging="420" w:firstLineChars="0"/>
        <w:rPr>
          <w:rFonts w:asciiTheme="minorEastAsia" w:hAnsiTheme="minorEastAsia"/>
          <w:bCs/>
          <w:sz w:val="24"/>
          <w:szCs w:val="24"/>
        </w:rPr>
      </w:pPr>
      <w:r>
        <w:rPr>
          <w:rFonts w:hint="eastAsia" w:asciiTheme="minorEastAsia" w:hAnsiTheme="minorEastAsia"/>
          <w:bCs/>
          <w:sz w:val="24"/>
          <w:szCs w:val="24"/>
        </w:rPr>
        <w:t>交易品种：</w:t>
      </w:r>
      <w:r>
        <w:rPr>
          <w:rFonts w:hint="eastAsia" w:ascii="宋体" w:hAnsi="宋体" w:eastAsia="宋体" w:cs="宋体"/>
          <w:color w:val="000000"/>
          <w:kern w:val="0"/>
          <w:sz w:val="24"/>
          <w:szCs w:val="24"/>
        </w:rPr>
        <w:t>远期结售汇</w:t>
      </w:r>
    </w:p>
    <w:p w14:paraId="67A21743">
      <w:pPr>
        <w:numPr>
          <w:ilvl w:val="0"/>
          <w:numId w:val="1"/>
        </w:numPr>
        <w:adjustRightInd w:val="0"/>
        <w:snapToGrid w:val="0"/>
        <w:spacing w:line="560" w:lineRule="exact"/>
        <w:ind w:left="420" w:leftChars="0" w:hanging="420" w:firstLineChars="0"/>
        <w:rPr>
          <w:rFonts w:asciiTheme="minorEastAsia" w:hAnsiTheme="minorEastAsia"/>
          <w:bCs/>
          <w:sz w:val="24"/>
          <w:szCs w:val="24"/>
        </w:rPr>
      </w:pPr>
      <w:r>
        <w:rPr>
          <w:rFonts w:hint="eastAsia" w:asciiTheme="minorEastAsia" w:hAnsiTheme="minorEastAsia"/>
          <w:bCs/>
          <w:sz w:val="24"/>
          <w:szCs w:val="24"/>
        </w:rPr>
        <w:t>交易场所：</w:t>
      </w:r>
      <w:r>
        <w:rPr>
          <w:rFonts w:hint="eastAsia" w:ascii="宋体" w:hAnsi="宋体" w:eastAsia="宋体" w:cs="宋体"/>
          <w:color w:val="000000"/>
          <w:kern w:val="0"/>
          <w:sz w:val="24"/>
          <w:szCs w:val="24"/>
        </w:rPr>
        <w:t>国家外汇管理局和中国人民银行批准、具有外汇衍生品交</w:t>
      </w:r>
    </w:p>
    <w:p w14:paraId="56F4D8BE">
      <w:pPr>
        <w:numPr>
          <w:ilvl w:val="0"/>
          <w:numId w:val="0"/>
        </w:numPr>
        <w:adjustRightInd w:val="0"/>
        <w:snapToGrid w:val="0"/>
        <w:spacing w:line="560" w:lineRule="exact"/>
        <w:rPr>
          <w:rFonts w:asciiTheme="minorEastAsia" w:hAnsiTheme="minorEastAsia"/>
          <w:bCs/>
          <w:sz w:val="24"/>
          <w:szCs w:val="24"/>
        </w:rPr>
      </w:pPr>
      <w:r>
        <w:rPr>
          <w:rFonts w:hint="eastAsia" w:ascii="宋体" w:hAnsi="宋体" w:eastAsia="宋体" w:cs="宋体"/>
          <w:color w:val="000000"/>
          <w:kern w:val="0"/>
          <w:sz w:val="24"/>
          <w:szCs w:val="24"/>
        </w:rPr>
        <w:t>易业务经营资格的银行等金融机构</w:t>
      </w:r>
    </w:p>
    <w:p w14:paraId="4BAF2C2F">
      <w:pPr>
        <w:numPr>
          <w:ilvl w:val="-1"/>
          <w:numId w:val="0"/>
        </w:numPr>
        <w:adjustRightInd w:val="0"/>
        <w:snapToGrid w:val="0"/>
        <w:spacing w:line="560" w:lineRule="exact"/>
        <w:ind w:left="0" w:leftChars="0" w:firstLine="0"/>
        <w:rPr>
          <w:rFonts w:hint="eastAsia" w:asciiTheme="minorEastAsia" w:hAnsiTheme="minorEastAsia"/>
          <w:bCs/>
          <w:sz w:val="24"/>
          <w:szCs w:val="24"/>
        </w:rPr>
      </w:pPr>
      <w:r>
        <w:rPr>
          <w:rFonts w:hint="eastAsia" w:asciiTheme="minorEastAsia" w:hAnsiTheme="minorEastAsia"/>
          <w:bCs/>
          <w:sz w:val="24"/>
          <w:szCs w:val="24"/>
        </w:rPr>
        <w:t>交易金额：预计2025年度公司全年出口销售业务收汇和设备进口业务付汇总金额为不超过100,000万元或等值外币，公司计划在上述实际交易业务总额范围内开展外汇套期保值业务，上述额度可循环使用，任一时点的交易金额将不超过上述额度，计划任一时点使用保证金为不超过人民币5,000万元（授权期限以内任意时点保证金总额不超过5,000万元）。</w:t>
      </w:r>
    </w:p>
    <w:p w14:paraId="227DD7C2">
      <w:pPr>
        <w:numPr>
          <w:ilvl w:val="0"/>
          <w:numId w:val="1"/>
        </w:numPr>
        <w:adjustRightInd w:val="0"/>
        <w:snapToGrid w:val="0"/>
        <w:spacing w:line="560" w:lineRule="exact"/>
        <w:ind w:left="420" w:leftChars="0" w:hanging="420" w:firstLineChars="0"/>
        <w:rPr>
          <w:rFonts w:asciiTheme="minorEastAsia" w:hAnsiTheme="minorEastAsia" w:eastAsiaTheme="minorEastAsia"/>
          <w:sz w:val="24"/>
          <w:szCs w:val="24"/>
        </w:rPr>
      </w:pPr>
      <w:r>
        <w:rPr>
          <w:rFonts w:hint="eastAsia" w:asciiTheme="minorEastAsia" w:hAnsiTheme="minorEastAsia" w:eastAsiaTheme="minorEastAsia"/>
          <w:bCs/>
          <w:sz w:val="24"/>
          <w:szCs w:val="24"/>
        </w:rPr>
        <w:t>审议程序：本事项已经公司第四届董事会第</w:t>
      </w:r>
      <w:r>
        <w:rPr>
          <w:rFonts w:hint="eastAsia" w:asciiTheme="minorEastAsia" w:hAnsiTheme="minorEastAsia"/>
          <w:bCs/>
          <w:sz w:val="24"/>
          <w:szCs w:val="24"/>
          <w:lang w:val="en-US" w:eastAsia="zh-CN"/>
        </w:rPr>
        <w:t>九</w:t>
      </w:r>
      <w:r>
        <w:rPr>
          <w:rFonts w:hint="eastAsia" w:asciiTheme="minorEastAsia" w:hAnsiTheme="minorEastAsia" w:eastAsiaTheme="minorEastAsia"/>
          <w:bCs/>
          <w:sz w:val="24"/>
          <w:szCs w:val="24"/>
        </w:rPr>
        <w:t>次会议审议通过</w:t>
      </w:r>
    </w:p>
    <w:p w14:paraId="6DAE170A">
      <w:pPr>
        <w:pStyle w:val="17"/>
        <w:numPr>
          <w:ilvl w:val="0"/>
          <w:numId w:val="1"/>
        </w:numPr>
        <w:adjustRightInd w:val="0"/>
        <w:snapToGrid w:val="0"/>
        <w:spacing w:line="560" w:lineRule="exact"/>
        <w:ind w:left="420" w:leftChars="0" w:hanging="420" w:firstLineChars="0"/>
        <w:rPr>
          <w:rFonts w:ascii="仿宋" w:hAnsi="仿宋" w:eastAsia="仿宋_GB2312"/>
          <w:color w:val="000000"/>
          <w:sz w:val="30"/>
          <w:szCs w:val="30"/>
        </w:rPr>
      </w:pPr>
      <w:r>
        <w:rPr>
          <w:rFonts w:hint="eastAsia" w:asciiTheme="minorEastAsia" w:hAnsiTheme="minorEastAsia" w:eastAsiaTheme="minorEastAsia"/>
          <w:bCs/>
          <w:sz w:val="24"/>
          <w:szCs w:val="24"/>
        </w:rPr>
        <w:t>特别</w:t>
      </w:r>
      <w:r>
        <w:rPr>
          <w:rFonts w:asciiTheme="minorEastAsia" w:hAnsiTheme="minorEastAsia" w:eastAsiaTheme="minorEastAsia"/>
          <w:bCs/>
          <w:sz w:val="24"/>
          <w:szCs w:val="24"/>
        </w:rPr>
        <w:t>风险提示</w:t>
      </w:r>
      <w:r>
        <w:rPr>
          <w:rFonts w:hint="eastAsia" w:asciiTheme="minorEastAsia" w:hAnsiTheme="minorEastAsia" w:eastAsiaTheme="minorEastAsia"/>
          <w:bCs/>
          <w:sz w:val="24"/>
          <w:szCs w:val="24"/>
        </w:rPr>
        <w:t>：</w:t>
      </w:r>
      <w:r>
        <w:rPr>
          <w:rFonts w:hint="eastAsia" w:ascii="宋体" w:hAnsi="宋体" w:cs="宋体"/>
          <w:color w:val="000000"/>
          <w:kern w:val="0"/>
          <w:sz w:val="24"/>
          <w:szCs w:val="24"/>
        </w:rPr>
        <w:t>公司开展外汇套期保值业务遵循锁定汇率风险、套期保值的</w:t>
      </w:r>
    </w:p>
    <w:p w14:paraId="7D82FA3E">
      <w:pPr>
        <w:pStyle w:val="17"/>
        <w:numPr>
          <w:ilvl w:val="0"/>
          <w:numId w:val="0"/>
        </w:numPr>
        <w:adjustRightInd w:val="0"/>
        <w:snapToGrid w:val="0"/>
        <w:spacing w:line="560" w:lineRule="exact"/>
        <w:ind w:leftChars="0"/>
        <w:rPr>
          <w:rFonts w:ascii="仿宋" w:hAnsi="仿宋" w:eastAsia="仿宋_GB2312"/>
          <w:color w:val="000000"/>
          <w:sz w:val="30"/>
          <w:szCs w:val="30"/>
        </w:rPr>
      </w:pPr>
      <w:r>
        <w:rPr>
          <w:rFonts w:hint="eastAsia" w:ascii="宋体" w:hAnsi="宋体" w:cs="宋体"/>
          <w:color w:val="000000"/>
          <w:kern w:val="0"/>
          <w:sz w:val="24"/>
          <w:szCs w:val="24"/>
        </w:rPr>
        <w:t>原则，不做投机性、套利性的交易操作，但外汇套期保值业务也会存在汇率波动、内部控制、交易违约等风险，敬请广大投资者充分关注投资风险</w:t>
      </w:r>
    </w:p>
    <w:p w14:paraId="2DD40BDA">
      <w:pPr>
        <w:autoSpaceDE w:val="0"/>
        <w:autoSpaceDN w:val="0"/>
        <w:adjustRightInd w:val="0"/>
        <w:snapToGrid w:val="0"/>
        <w:spacing w:line="560" w:lineRule="exact"/>
        <w:ind w:firstLine="480" w:firstLineChars="200"/>
        <w:rPr>
          <w:rFonts w:ascii="宋体" w:hAnsi="宋体"/>
          <w:sz w:val="24"/>
          <w:szCs w:val="24"/>
        </w:rPr>
      </w:pPr>
      <w:r>
        <w:rPr>
          <w:rFonts w:hint="eastAsia" w:ascii="宋体" w:hAnsi="宋体"/>
          <w:sz w:val="24"/>
          <w:szCs w:val="24"/>
        </w:rPr>
        <w:t>重庆望变电气（集团）股份有限公司（以下简称“公司”）于2024年1</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日召开</w:t>
      </w:r>
      <w:r>
        <w:rPr>
          <w:rFonts w:ascii="宋体" w:hAnsi="宋体" w:eastAsia="宋体" w:cs="宋体"/>
          <w:sz w:val="24"/>
          <w:szCs w:val="24"/>
        </w:rPr>
        <w:t>第</w:t>
      </w:r>
      <w:r>
        <w:rPr>
          <w:rFonts w:hint="eastAsia" w:ascii="宋体" w:hAnsi="宋体" w:eastAsia="宋体" w:cs="宋体"/>
          <w:sz w:val="24"/>
          <w:szCs w:val="24"/>
        </w:rPr>
        <w:t>四</w:t>
      </w:r>
      <w:r>
        <w:rPr>
          <w:rFonts w:ascii="宋体" w:hAnsi="宋体" w:eastAsia="宋体" w:cs="宋体"/>
          <w:sz w:val="24"/>
          <w:szCs w:val="24"/>
        </w:rPr>
        <w:t>届董事会</w:t>
      </w:r>
      <w:r>
        <w:rPr>
          <w:rFonts w:hint="eastAsia" w:ascii="宋体" w:hAnsi="宋体"/>
          <w:sz w:val="24"/>
          <w:szCs w:val="24"/>
        </w:rPr>
        <w:t>第</w:t>
      </w:r>
      <w:r>
        <w:rPr>
          <w:rFonts w:hint="eastAsia" w:ascii="宋体" w:hAnsi="宋体"/>
          <w:sz w:val="24"/>
          <w:szCs w:val="24"/>
          <w:lang w:val="en-US" w:eastAsia="zh-CN"/>
        </w:rPr>
        <w:t>九</w:t>
      </w:r>
      <w:r>
        <w:rPr>
          <w:rFonts w:hint="eastAsia" w:ascii="宋体" w:hAnsi="宋体"/>
          <w:sz w:val="24"/>
          <w:szCs w:val="24"/>
        </w:rPr>
        <w:t>次会议审议通过《关于开展外汇套期保值业务的议案》及其附件《关于开展外汇套期保值业务的可行性分析报告》，同意</w:t>
      </w:r>
      <w:r>
        <w:rPr>
          <w:rFonts w:hint="eastAsia" w:ascii="宋体" w:hAnsi="宋体"/>
          <w:sz w:val="24"/>
          <w:szCs w:val="24"/>
          <w:lang w:eastAsia="zh-CN"/>
        </w:rPr>
        <w:t>公司及下属子公司</w:t>
      </w:r>
      <w:r>
        <w:rPr>
          <w:rFonts w:hint="eastAsia" w:ascii="宋体" w:hAnsi="宋体"/>
          <w:sz w:val="24"/>
          <w:szCs w:val="24"/>
        </w:rPr>
        <w:t>根据生产经营需要开展外汇套期保值业务，现将有关事项公告如下：</w:t>
      </w:r>
    </w:p>
    <w:p w14:paraId="023D5EAA">
      <w:pPr>
        <w:adjustRightInd w:val="0"/>
        <w:snapToGrid w:val="0"/>
        <w:spacing w:line="560" w:lineRule="exact"/>
        <w:ind w:firstLine="482" w:firstLineChars="200"/>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一、交易情况概述</w:t>
      </w:r>
    </w:p>
    <w:p w14:paraId="7CD302FE">
      <w:pPr>
        <w:adjustRightInd w:val="0"/>
        <w:snapToGrid w:val="0"/>
        <w:spacing w:line="560" w:lineRule="exact"/>
        <w:ind w:firstLine="482" w:firstLineChars="200"/>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（一）交易目的</w:t>
      </w:r>
    </w:p>
    <w:p w14:paraId="1616901C">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公司及下属子公司</w:t>
      </w:r>
      <w:r>
        <w:rPr>
          <w:rFonts w:hint="eastAsia" w:ascii="宋体" w:hAnsi="宋体" w:eastAsia="宋体" w:cs="宋体"/>
          <w:color w:val="000000"/>
          <w:kern w:val="0"/>
          <w:sz w:val="24"/>
          <w:szCs w:val="24"/>
        </w:rPr>
        <w:t>出口业务主要采用美元等外币结算，为有效规避</w:t>
      </w:r>
      <w:r>
        <w:rPr>
          <w:rFonts w:hint="eastAsia" w:ascii="宋体" w:hAnsi="宋体" w:eastAsia="宋体" w:cs="宋体"/>
          <w:color w:val="000000"/>
          <w:kern w:val="0"/>
          <w:sz w:val="24"/>
          <w:szCs w:val="24"/>
          <w:lang w:eastAsia="zh-CN"/>
        </w:rPr>
        <w:t>公司及下属子公司</w:t>
      </w:r>
      <w:r>
        <w:rPr>
          <w:rFonts w:hint="eastAsia" w:ascii="宋体" w:hAnsi="宋体" w:eastAsia="宋体" w:cs="宋体"/>
          <w:color w:val="000000"/>
          <w:kern w:val="0"/>
          <w:sz w:val="24"/>
          <w:szCs w:val="24"/>
        </w:rPr>
        <w:t>开展相关业务所产生外币收付汇结算等外币汇率大幅波动风险，提高外汇资金使用效率，合理规避汇率风险，</w:t>
      </w:r>
      <w:r>
        <w:rPr>
          <w:rFonts w:hint="eastAsia" w:ascii="宋体" w:hAnsi="宋体" w:eastAsia="宋体" w:cs="宋体"/>
          <w:color w:val="000000"/>
          <w:kern w:val="0"/>
          <w:sz w:val="24"/>
          <w:szCs w:val="24"/>
          <w:lang w:eastAsia="zh-CN"/>
        </w:rPr>
        <w:t>公司及下属子公司</w:t>
      </w:r>
      <w:r>
        <w:rPr>
          <w:rFonts w:hint="eastAsia" w:ascii="宋体" w:hAnsi="宋体" w:eastAsia="宋体" w:cs="宋体"/>
          <w:color w:val="000000"/>
          <w:kern w:val="0"/>
          <w:sz w:val="24"/>
          <w:szCs w:val="24"/>
        </w:rPr>
        <w:t>拟与银行机构开展外汇套期保值业务，以减少汇率波动对公司经营业绩的影响，满足公司稳健经营的需求。</w:t>
      </w:r>
    </w:p>
    <w:p w14:paraId="5CA483D8">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公司及下属子公司</w:t>
      </w:r>
      <w:r>
        <w:rPr>
          <w:rFonts w:hint="eastAsia" w:ascii="宋体" w:hAnsi="宋体" w:eastAsia="宋体" w:cs="宋体"/>
          <w:color w:val="000000"/>
          <w:kern w:val="0"/>
          <w:sz w:val="24"/>
          <w:szCs w:val="24"/>
        </w:rPr>
        <w:t>本次开展外汇套期保值业务以正常生产经营为基础，以规避防范汇率风险为目的，不进行单纯以盈利为目的的投机和套利交易。</w:t>
      </w:r>
    </w:p>
    <w:p w14:paraId="23612885">
      <w:pPr>
        <w:adjustRightInd w:val="0"/>
        <w:snapToGrid w:val="0"/>
        <w:spacing w:line="560" w:lineRule="exact"/>
        <w:ind w:firstLine="482" w:firstLineChars="200"/>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（二）交易金额</w:t>
      </w:r>
    </w:p>
    <w:p w14:paraId="7A09F1D5">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预计</w:t>
      </w:r>
      <w:r>
        <w:rPr>
          <w:rFonts w:hint="eastAsia" w:ascii="宋体" w:hAnsi="宋体" w:eastAsia="宋体" w:cs="宋体"/>
          <w:color w:val="000000"/>
          <w:kern w:val="0"/>
          <w:sz w:val="24"/>
          <w:szCs w:val="24"/>
          <w:lang w:val="en-US" w:eastAsia="zh-CN"/>
        </w:rPr>
        <w:t>2025年度</w:t>
      </w:r>
      <w:r>
        <w:rPr>
          <w:rFonts w:hint="eastAsia" w:ascii="宋体" w:hAnsi="宋体" w:eastAsia="宋体" w:cs="宋体"/>
          <w:color w:val="000000"/>
          <w:kern w:val="0"/>
          <w:sz w:val="24"/>
          <w:szCs w:val="24"/>
        </w:rPr>
        <w:t>公司全年出口销售业务收汇和设备进口业务付汇总金额为不超过100,000万元或等值外币，公司计划在上述实际交易业务总额范围内开展外汇套期保值业务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上述额度可循环使用，任一时点的交易金额将不超过上述额度，</w:t>
      </w:r>
      <w:r>
        <w:rPr>
          <w:rFonts w:hint="eastAsia" w:ascii="宋体" w:hAnsi="宋体" w:eastAsia="宋体" w:cs="宋体"/>
          <w:color w:val="000000"/>
          <w:kern w:val="0"/>
          <w:sz w:val="24"/>
          <w:szCs w:val="24"/>
        </w:rPr>
        <w:t>计划</w:t>
      </w:r>
      <w:r>
        <w:rPr>
          <w:rFonts w:hint="eastAsia" w:ascii="宋体" w:hAnsi="宋体" w:eastAsia="宋体" w:cs="宋体"/>
          <w:color w:val="000000"/>
          <w:kern w:val="0"/>
          <w:sz w:val="24"/>
          <w:szCs w:val="24"/>
          <w:lang w:val="en-US" w:eastAsia="zh-CN"/>
        </w:rPr>
        <w:t>任一时点</w:t>
      </w:r>
      <w:r>
        <w:rPr>
          <w:rFonts w:hint="eastAsia" w:ascii="宋体" w:hAnsi="宋体" w:eastAsia="宋体" w:cs="宋体"/>
          <w:color w:val="000000"/>
          <w:kern w:val="0"/>
          <w:sz w:val="24"/>
          <w:szCs w:val="24"/>
        </w:rPr>
        <w:t>使用保证金为不超过人民币5,000万元（授权期限以内任意时点保证金总额不超过5</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000万元）。</w:t>
      </w:r>
    </w:p>
    <w:p w14:paraId="04B1C4A9">
      <w:pPr>
        <w:adjustRightInd w:val="0"/>
        <w:snapToGrid w:val="0"/>
        <w:spacing w:line="560" w:lineRule="exact"/>
        <w:ind w:firstLine="482" w:firstLineChars="200"/>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（三）资金来源</w:t>
      </w:r>
    </w:p>
    <w:p w14:paraId="45C655B8">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公司及下属子公司的自有资金，不涉及使用募集资金或银行信贷资金。</w:t>
      </w:r>
    </w:p>
    <w:p w14:paraId="03CA35AD">
      <w:pPr>
        <w:adjustRightInd w:val="0"/>
        <w:snapToGrid w:val="0"/>
        <w:spacing w:line="560" w:lineRule="exact"/>
        <w:ind w:firstLine="482" w:firstLineChars="200"/>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（四）交易方式</w:t>
      </w:r>
    </w:p>
    <w:p w14:paraId="5FE245A3">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公司拟开展的外汇套期保值业务只限于从事与公司生产经营所使用的主要结算货币相同的币种，主要外币币种为美元、欧元等。公司进行的外汇套期保值业务品种为远期结售汇。</w:t>
      </w:r>
    </w:p>
    <w:p w14:paraId="66245C3C">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公司拟开展的外汇套期保值业务的交易对手或平台为国家外汇管理局和中国人民银行批准、具有外汇衍生品交易业务经营资格的银行等金融机构。</w:t>
      </w:r>
    </w:p>
    <w:p w14:paraId="20467368">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公司与金融机构签订远期结售汇合约，约定未来购汇或结汇的外汇币种、金额、期限及汇率，到期时按照该合约约定的币种、金额、汇率办理购汇或结汇业务，从而锁定当期购汇或结汇的成本及收入。</w:t>
      </w:r>
    </w:p>
    <w:p w14:paraId="12857F45">
      <w:pPr>
        <w:adjustRightInd w:val="0"/>
        <w:snapToGrid w:val="0"/>
        <w:spacing w:line="560" w:lineRule="exact"/>
        <w:ind w:firstLine="482" w:firstLineChars="200"/>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（五）交易期限</w:t>
      </w:r>
    </w:p>
    <w:p w14:paraId="361C267C">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上述额度自202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年1月1日至202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年12月31日有效。</w:t>
      </w:r>
    </w:p>
    <w:p w14:paraId="0930F667">
      <w:pPr>
        <w:adjustRightInd w:val="0"/>
        <w:snapToGrid w:val="0"/>
        <w:spacing w:line="560" w:lineRule="exact"/>
        <w:ind w:firstLine="482" w:firstLineChars="200"/>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（六）授权</w:t>
      </w:r>
    </w:p>
    <w:p w14:paraId="137CEB2C">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鉴于外汇套期保值业务与公司的生产经营密切相关，公司董事会授权公司总经理在授权额度内审批日常外汇套期保值业务方案及签署外汇套期保值业务相关合同，并由财务部门</w:t>
      </w:r>
      <w:r>
        <w:rPr>
          <w:rFonts w:hint="eastAsia" w:ascii="宋体" w:hAnsi="宋体" w:eastAsia="宋体" w:cs="宋体"/>
          <w:color w:val="000000"/>
          <w:kern w:val="0"/>
          <w:sz w:val="24"/>
          <w:szCs w:val="24"/>
          <w:lang w:val="en-US" w:eastAsia="zh-CN"/>
        </w:rPr>
        <w:t>作</w:t>
      </w:r>
      <w:r>
        <w:rPr>
          <w:rFonts w:hint="eastAsia" w:ascii="宋体" w:hAnsi="宋体" w:eastAsia="宋体" w:cs="宋体"/>
          <w:color w:val="000000"/>
          <w:kern w:val="0"/>
          <w:sz w:val="24"/>
          <w:szCs w:val="24"/>
        </w:rPr>
        <w:t>为日常执行机构，负责与远期结售汇业务相关计划制订、资金筹集、业务操作及使用监督，对</w:t>
      </w:r>
      <w:r>
        <w:rPr>
          <w:rFonts w:hint="eastAsia" w:ascii="宋体" w:hAnsi="宋体" w:eastAsia="宋体" w:cs="宋体"/>
          <w:color w:val="000000"/>
          <w:kern w:val="0"/>
          <w:sz w:val="24"/>
          <w:szCs w:val="24"/>
          <w:lang w:eastAsia="zh-CN"/>
        </w:rPr>
        <w:t>公司及下属子公司</w:t>
      </w:r>
      <w:r>
        <w:rPr>
          <w:rFonts w:hint="eastAsia" w:ascii="宋体" w:hAnsi="宋体" w:eastAsia="宋体" w:cs="宋体"/>
          <w:color w:val="000000"/>
          <w:kern w:val="0"/>
          <w:sz w:val="24"/>
          <w:szCs w:val="24"/>
        </w:rPr>
        <w:t>的远期结售汇业务进行督导，行使外汇套期保值业务具体执行职责。授权期限自202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年1月1日至202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年12月31日有效。</w:t>
      </w:r>
    </w:p>
    <w:p w14:paraId="59FB8925">
      <w:pPr>
        <w:adjustRightInd w:val="0"/>
        <w:snapToGrid w:val="0"/>
        <w:spacing w:line="560" w:lineRule="exact"/>
        <w:ind w:firstLine="482" w:firstLineChars="200"/>
        <w:outlineLvl w:val="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二、审议程序</w:t>
      </w:r>
    </w:p>
    <w:p w14:paraId="75F95F80">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公司于2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4年1</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26</w:t>
      </w:r>
      <w:r>
        <w:rPr>
          <w:rFonts w:hint="eastAsia" w:ascii="宋体" w:hAnsi="宋体" w:eastAsia="宋体" w:cs="宋体"/>
          <w:color w:val="000000"/>
          <w:kern w:val="0"/>
          <w:sz w:val="24"/>
          <w:szCs w:val="24"/>
        </w:rPr>
        <w:t>日召开</w:t>
      </w:r>
      <w:r>
        <w:rPr>
          <w:rFonts w:ascii="宋体" w:hAnsi="宋体" w:eastAsia="宋体" w:cs="宋体"/>
          <w:sz w:val="24"/>
          <w:szCs w:val="24"/>
        </w:rPr>
        <w:t>第</w:t>
      </w:r>
      <w:r>
        <w:rPr>
          <w:rFonts w:hint="eastAsia" w:ascii="宋体" w:hAnsi="宋体" w:eastAsia="宋体" w:cs="宋体"/>
          <w:sz w:val="24"/>
          <w:szCs w:val="24"/>
        </w:rPr>
        <w:t>四</w:t>
      </w:r>
      <w:r>
        <w:rPr>
          <w:rFonts w:ascii="宋体" w:hAnsi="宋体" w:eastAsia="宋体" w:cs="宋体"/>
          <w:sz w:val="24"/>
          <w:szCs w:val="24"/>
        </w:rPr>
        <w:t>届</w:t>
      </w:r>
      <w:r>
        <w:rPr>
          <w:rFonts w:hint="eastAsia" w:ascii="宋体" w:hAnsi="宋体" w:eastAsia="宋体" w:cs="宋体"/>
          <w:color w:val="000000"/>
          <w:kern w:val="0"/>
          <w:sz w:val="24"/>
          <w:szCs w:val="24"/>
        </w:rPr>
        <w:t>董事会第</w:t>
      </w:r>
      <w:r>
        <w:rPr>
          <w:rFonts w:hint="eastAsia" w:ascii="宋体" w:hAnsi="宋体" w:eastAsia="宋体" w:cs="宋体"/>
          <w:color w:val="000000"/>
          <w:kern w:val="0"/>
          <w:sz w:val="24"/>
          <w:szCs w:val="24"/>
          <w:lang w:val="en-US" w:eastAsia="zh-CN"/>
        </w:rPr>
        <w:t>九</w:t>
      </w:r>
      <w:r>
        <w:rPr>
          <w:rFonts w:hint="eastAsia" w:ascii="宋体" w:hAnsi="宋体" w:eastAsia="宋体" w:cs="宋体"/>
          <w:color w:val="000000"/>
          <w:kern w:val="0"/>
          <w:sz w:val="24"/>
          <w:szCs w:val="24"/>
        </w:rPr>
        <w:t>次会议，审议通过《</w:t>
      </w:r>
      <w:r>
        <w:rPr>
          <w:rFonts w:hint="eastAsia" w:ascii="宋体" w:hAnsi="宋体"/>
          <w:sz w:val="24"/>
          <w:szCs w:val="24"/>
        </w:rPr>
        <w:t>关于开展外汇套期保值业务的议案</w:t>
      </w:r>
      <w:r>
        <w:rPr>
          <w:rFonts w:hint="eastAsia" w:ascii="宋体" w:hAnsi="宋体" w:eastAsia="宋体" w:cs="宋体"/>
          <w:color w:val="000000"/>
          <w:kern w:val="0"/>
          <w:sz w:val="24"/>
          <w:szCs w:val="24"/>
        </w:rPr>
        <w:t>》，</w:t>
      </w:r>
      <w:r>
        <w:rPr>
          <w:rFonts w:hint="eastAsia" w:ascii="宋体" w:hAnsi="宋体"/>
          <w:sz w:val="24"/>
          <w:szCs w:val="24"/>
        </w:rPr>
        <w:t>同意公司编制的《关于开展外汇套期保值业务的可行性分析报告》；同意</w:t>
      </w:r>
      <w:r>
        <w:rPr>
          <w:rFonts w:hint="eastAsia" w:ascii="宋体" w:hAnsi="宋体"/>
          <w:sz w:val="24"/>
          <w:szCs w:val="24"/>
          <w:lang w:eastAsia="zh-CN"/>
        </w:rPr>
        <w:t>公司及下属子公司</w:t>
      </w:r>
      <w:r>
        <w:rPr>
          <w:rFonts w:hint="eastAsia" w:ascii="宋体" w:hAnsi="宋体"/>
          <w:sz w:val="24"/>
          <w:szCs w:val="24"/>
        </w:rPr>
        <w:t>根据生产经营需要开展外汇套期保值业务，预计公司全年出口销售业务收汇和设备进口业务付汇总金额为不超过100,000万元或等值外币，公司计划在上述实际交易业务总额范围内开展外汇套期保值业务，上述额度可循环使用，任一时点的交易金额将不超过上述额度，计划任一时点使用保证金为不超过人民币5,000万元（授权期限以内任意时点保证金总额不超过5,000万元）。</w:t>
      </w:r>
      <w:r>
        <w:rPr>
          <w:rFonts w:hint="eastAsia" w:ascii="宋体" w:hAnsi="宋体" w:eastAsia="宋体" w:cs="宋体"/>
          <w:sz w:val="24"/>
          <w:szCs w:val="24"/>
          <w:highlight w:val="none"/>
        </w:rPr>
        <w:t>上述额度自</w:t>
      </w:r>
      <w:r>
        <w:rPr>
          <w:rFonts w:hint="eastAsia" w:ascii="宋体" w:hAnsi="宋体" w:eastAsia="宋体" w:cs="宋体"/>
          <w:sz w:val="24"/>
          <w:szCs w:val="24"/>
          <w:highlight w:val="none"/>
          <w:lang w:val="en-US" w:eastAsia="zh-CN"/>
        </w:rPr>
        <w:t>2025年1月1日至2025年12月31日有效</w:t>
      </w:r>
      <w:r>
        <w:rPr>
          <w:rFonts w:hint="eastAsia" w:ascii="宋体" w:hAnsi="宋体" w:eastAsia="宋体" w:cs="宋体"/>
          <w:sz w:val="24"/>
          <w:szCs w:val="24"/>
          <w:highlight w:val="none"/>
        </w:rPr>
        <w:t>，在上述额度及期限范围内可以滚动使用</w:t>
      </w:r>
      <w:r>
        <w:rPr>
          <w:rFonts w:hint="eastAsia" w:ascii="宋体" w:hAnsi="宋体" w:eastAsia="宋体" w:cs="宋体"/>
          <w:sz w:val="24"/>
          <w:szCs w:val="24"/>
          <w:highlight w:val="none"/>
          <w:lang w:eastAsia="zh-CN"/>
        </w:rPr>
        <w:t>，</w:t>
      </w:r>
      <w:r>
        <w:rPr>
          <w:rFonts w:hint="eastAsia" w:ascii="宋体" w:hAnsi="宋体" w:eastAsia="宋体" w:cs="宋体"/>
          <w:sz w:val="24"/>
          <w:szCs w:val="24"/>
        </w:rPr>
        <w:t>本议案无需提交公司股东会审议。</w:t>
      </w:r>
    </w:p>
    <w:p w14:paraId="4A35A1AD">
      <w:pPr>
        <w:adjustRightInd w:val="0"/>
        <w:snapToGrid w:val="0"/>
        <w:spacing w:line="560" w:lineRule="exact"/>
        <w:ind w:firstLine="482" w:firstLineChars="200"/>
        <w:outlineLvl w:val="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三、交易风险分析及风控措施</w:t>
      </w:r>
    </w:p>
    <w:p w14:paraId="4E96C83C">
      <w:pPr>
        <w:adjustRightInd w:val="0"/>
        <w:snapToGrid w:val="0"/>
        <w:spacing w:line="560" w:lineRule="exact"/>
        <w:ind w:firstLine="480" w:firstLineChars="200"/>
        <w:outlineLvl w:val="1"/>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（一）本次开展远期外汇交易业务的风险</w:t>
      </w:r>
    </w:p>
    <w:p w14:paraId="617CBA9D">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公司开展外汇套期保值业务遵循锁定汇率风险、套期保值的原则，不做投机性、套利性的交易操作，在签订合约时严格按照公司付款（回款）期限和付款（回款）金额进行交易。外汇套期保值业务可以在汇率发生大幅波动时，降低汇率波动对公司的影响，但同时外汇套期保值业务也会存在一定风险：</w:t>
      </w:r>
    </w:p>
    <w:p w14:paraId="1CA3092B">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汇率波动风险：在汇率行情变动较大的情况下，银行结售汇汇率报价可能低于公司对客户（供应商）报价汇率，使公司无法按照报价汇率进行锁定，造成汇兑损失。在外汇汇率波动较大时，公司判断汇率大幅波动方向与外汇套期保值合约方向不一致时，将造成汇兑损失。</w:t>
      </w:r>
    </w:p>
    <w:p w14:paraId="54E853A2">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2、内部控制风险：外汇套期保值业务专业性较强，复杂程度较高，可能会由于内控制度不完善而造成风险。</w:t>
      </w:r>
    </w:p>
    <w:p w14:paraId="09D2FFBC">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3、客户违约风险：客户应收账款发生逾期，货款无法在约定的回款期内收回，会造成延期交割导致公司损失。</w:t>
      </w:r>
    </w:p>
    <w:p w14:paraId="3B5C17D1">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4、交易违约风险：外汇套期保值交易对手出现违约，不能按照约定支付公司套期保值盈利从而无法对冲公司实际的汇兑损失，将造成公司损失。</w:t>
      </w:r>
    </w:p>
    <w:p w14:paraId="0B2F08D9">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5、法律风险：因相关法律发生变化或交易对手违反相关法律制度可能造成合约无法正常执行而给公司带来损失。</w:t>
      </w:r>
    </w:p>
    <w:p w14:paraId="5EDCB1B8">
      <w:pPr>
        <w:adjustRightInd w:val="0"/>
        <w:snapToGrid w:val="0"/>
        <w:spacing w:line="560" w:lineRule="exact"/>
        <w:ind w:firstLine="480" w:firstLineChars="200"/>
        <w:outlineLvl w:val="1"/>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（二）采取的风险控制措施</w:t>
      </w:r>
    </w:p>
    <w:p w14:paraId="51C2F154">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公司完善了《远期结售汇业务内部控制制度》，该制度就公司外汇套期保值业务额度、品种范围、审批权限、内部审核流程、责任部门及责任人、信息隔离措施、内部风险报告制度及风险处理程序等做出了明确规定，该制度符合监管部门的有关要求，能满足实际操作的需要，所制定的风险控制措施是切实有效的。</w:t>
      </w:r>
    </w:p>
    <w:p w14:paraId="38E4E385">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为避免内部控制风险，公司财务部门负责统一管理外汇套期保值业务。所有的外汇交易行为均以正常生产经营为基础，以具体经营业务为依托，不得进行投机和套利交易，并严格按照《远期结售汇业务内部控制制度》的规定进行业务操作，有效地保证制度的执行。</w:t>
      </w:r>
    </w:p>
    <w:p w14:paraId="5EFA1388">
      <w:pPr>
        <w:adjustRightInd w:val="0"/>
        <w:snapToGrid w:val="0"/>
        <w:spacing w:line="560" w:lineRule="exac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当公司外汇套期保值业务出现重大风险或可能出现重大风险的，财务部门应提交分析报告和解决方案，并随时跟踪业务进展情况；董事会应立即商讨应对措施，综合运用风险规避、风险降低、风险分担和风险承受等应对策略，提出切实可行的解决措施，实现对风险的有效控制。</w:t>
      </w:r>
    </w:p>
    <w:p w14:paraId="484E1D02">
      <w:pPr>
        <w:adjustRightInd w:val="0"/>
        <w:snapToGrid w:val="0"/>
        <w:spacing w:line="560" w:lineRule="exact"/>
        <w:ind w:firstLine="482" w:firstLineChars="200"/>
        <w:outlineLvl w:val="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四、交易对公司的影响及相关会计处理</w:t>
      </w:r>
    </w:p>
    <w:p w14:paraId="43AA9694">
      <w:pPr>
        <w:adjustRightInd w:val="0"/>
        <w:snapToGrid w:val="0"/>
        <w:spacing w:line="560" w:lineRule="exact"/>
        <w:ind w:right="48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公司及下属子公司</w:t>
      </w:r>
      <w:r>
        <w:rPr>
          <w:rFonts w:hint="eastAsia" w:ascii="宋体" w:hAnsi="宋体" w:eastAsia="宋体" w:cs="宋体"/>
          <w:color w:val="000000"/>
          <w:kern w:val="0"/>
          <w:sz w:val="24"/>
          <w:szCs w:val="24"/>
        </w:rPr>
        <w:t>开展外汇套期保值业务能够有效规避和防范外汇市场风险，防止汇率大幅波动对公司生产经营造成不利影响，提高外汇资金使用效率，合理降低财务费用。</w:t>
      </w:r>
    </w:p>
    <w:p w14:paraId="0B81AB67">
      <w:pPr>
        <w:adjustRightInd w:val="0"/>
        <w:snapToGrid w:val="0"/>
        <w:spacing w:line="560" w:lineRule="exact"/>
        <w:ind w:right="48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公司及下属子公司</w:t>
      </w:r>
      <w:r>
        <w:rPr>
          <w:rFonts w:hint="eastAsia" w:ascii="宋体" w:hAnsi="宋体" w:eastAsia="宋体" w:cs="宋体"/>
          <w:color w:val="000000"/>
          <w:kern w:val="0"/>
          <w:sz w:val="24"/>
          <w:szCs w:val="24"/>
        </w:rPr>
        <w:t>根据财政部《企业会计准则第22号—金融工具确认和计量》《企业会计准则第24号—套期会计》《企业会计准则第37号—金融工具列报》等相关规定及其指南，对拟开展的外汇套期保值业务进行相应的核算处理，反映资产负债表及损益表相关项目。</w:t>
      </w:r>
    </w:p>
    <w:p w14:paraId="4DE1FD23">
      <w:pPr>
        <w:adjustRightInd w:val="0"/>
        <w:snapToGrid w:val="0"/>
        <w:spacing w:line="560" w:lineRule="exact"/>
        <w:ind w:firstLine="480" w:firstLineChars="200"/>
        <w:rPr>
          <w:rFonts w:hint="eastAsia" w:ascii="宋体" w:hAnsi="宋体" w:eastAsia="宋体"/>
          <w:color w:val="000000"/>
          <w:sz w:val="24"/>
          <w:szCs w:val="24"/>
        </w:rPr>
      </w:pPr>
    </w:p>
    <w:p w14:paraId="4A1520CA">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14:paraId="41CAB94C">
      <w:pPr>
        <w:adjustRightInd w:val="0"/>
        <w:snapToGrid w:val="0"/>
        <w:spacing w:line="560" w:lineRule="exact"/>
        <w:ind w:firstLine="480" w:firstLineChars="200"/>
        <w:rPr>
          <w:rFonts w:ascii="宋体" w:hAnsi="宋体" w:eastAsia="宋体"/>
          <w:color w:val="000000"/>
          <w:sz w:val="24"/>
          <w:szCs w:val="24"/>
        </w:rPr>
      </w:pPr>
    </w:p>
    <w:p w14:paraId="61E890F4">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bookmarkStart w:id="0" w:name="_GoBack"/>
      <w:bookmarkEnd w:id="0"/>
    </w:p>
    <w:p w14:paraId="522E62B5">
      <w:pPr>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w:t>
      </w:r>
      <w:r>
        <w:rPr>
          <w:rFonts w:hint="eastAsia" w:ascii="宋体" w:hAnsi="宋体" w:eastAsia="宋体"/>
          <w:color w:val="000000"/>
          <w:sz w:val="24"/>
          <w:szCs w:val="24"/>
        </w:rPr>
        <w:t>4年1</w:t>
      </w: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28</w:t>
      </w:r>
      <w:r>
        <w:rPr>
          <w:rFonts w:hint="eastAsia" w:ascii="宋体" w:hAnsi="宋体" w:eastAsia="宋体"/>
          <w:color w:val="000000"/>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78201648">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49C9E"/>
    <w:multiLevelType w:val="singleLevel"/>
    <w:tmpl w:val="AAB49C9E"/>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MTYzODhjYTIzN2VlNWE1ZmU0YTU0NTgxMDI4MDMifQ=="/>
  </w:docVars>
  <w:rsids>
    <w:rsidRoot w:val="521827E2"/>
    <w:rsid w:val="00010BC9"/>
    <w:rsid w:val="0003670A"/>
    <w:rsid w:val="000378C7"/>
    <w:rsid w:val="00064FE8"/>
    <w:rsid w:val="00076EFD"/>
    <w:rsid w:val="0008555B"/>
    <w:rsid w:val="000A40E4"/>
    <w:rsid w:val="000B1A1F"/>
    <w:rsid w:val="000B3854"/>
    <w:rsid w:val="000C72A9"/>
    <w:rsid w:val="000D3DA9"/>
    <w:rsid w:val="000D409C"/>
    <w:rsid w:val="000F747E"/>
    <w:rsid w:val="00123266"/>
    <w:rsid w:val="001254C4"/>
    <w:rsid w:val="00140439"/>
    <w:rsid w:val="0014777F"/>
    <w:rsid w:val="001507FC"/>
    <w:rsid w:val="0016249D"/>
    <w:rsid w:val="001723E5"/>
    <w:rsid w:val="00187296"/>
    <w:rsid w:val="00192BD0"/>
    <w:rsid w:val="001A727A"/>
    <w:rsid w:val="001C1ED6"/>
    <w:rsid w:val="001D06CF"/>
    <w:rsid w:val="001D4E14"/>
    <w:rsid w:val="001D51B9"/>
    <w:rsid w:val="00201DED"/>
    <w:rsid w:val="00207B64"/>
    <w:rsid w:val="00225FE6"/>
    <w:rsid w:val="00252550"/>
    <w:rsid w:val="00277255"/>
    <w:rsid w:val="002B229C"/>
    <w:rsid w:val="003112C9"/>
    <w:rsid w:val="003505CE"/>
    <w:rsid w:val="00351429"/>
    <w:rsid w:val="003541EB"/>
    <w:rsid w:val="003571E3"/>
    <w:rsid w:val="0038615B"/>
    <w:rsid w:val="00391A1B"/>
    <w:rsid w:val="003E38F1"/>
    <w:rsid w:val="003F1451"/>
    <w:rsid w:val="004256AE"/>
    <w:rsid w:val="004315C5"/>
    <w:rsid w:val="004432AC"/>
    <w:rsid w:val="00464AFC"/>
    <w:rsid w:val="004A21C8"/>
    <w:rsid w:val="004A790E"/>
    <w:rsid w:val="004B5841"/>
    <w:rsid w:val="004D041E"/>
    <w:rsid w:val="004D0E8E"/>
    <w:rsid w:val="004F172D"/>
    <w:rsid w:val="00522BE2"/>
    <w:rsid w:val="00527454"/>
    <w:rsid w:val="0053579F"/>
    <w:rsid w:val="005429C2"/>
    <w:rsid w:val="0055216A"/>
    <w:rsid w:val="005750AA"/>
    <w:rsid w:val="00575F03"/>
    <w:rsid w:val="005A15BF"/>
    <w:rsid w:val="005A2954"/>
    <w:rsid w:val="005B7B64"/>
    <w:rsid w:val="005F57F9"/>
    <w:rsid w:val="006150E2"/>
    <w:rsid w:val="00636BAE"/>
    <w:rsid w:val="006704CD"/>
    <w:rsid w:val="00672360"/>
    <w:rsid w:val="00684FFB"/>
    <w:rsid w:val="006A3328"/>
    <w:rsid w:val="006A773E"/>
    <w:rsid w:val="006E4DD1"/>
    <w:rsid w:val="006F3EE0"/>
    <w:rsid w:val="00726F44"/>
    <w:rsid w:val="00732B9D"/>
    <w:rsid w:val="00773B85"/>
    <w:rsid w:val="0078004A"/>
    <w:rsid w:val="00794722"/>
    <w:rsid w:val="007A61FA"/>
    <w:rsid w:val="007B073D"/>
    <w:rsid w:val="007B1916"/>
    <w:rsid w:val="007C3FFA"/>
    <w:rsid w:val="007E572E"/>
    <w:rsid w:val="007F703D"/>
    <w:rsid w:val="007F7EDC"/>
    <w:rsid w:val="008162CF"/>
    <w:rsid w:val="008320FC"/>
    <w:rsid w:val="0084121D"/>
    <w:rsid w:val="0084422E"/>
    <w:rsid w:val="00854FC4"/>
    <w:rsid w:val="00856E6D"/>
    <w:rsid w:val="008A5E36"/>
    <w:rsid w:val="008C6616"/>
    <w:rsid w:val="0090186C"/>
    <w:rsid w:val="00915D39"/>
    <w:rsid w:val="00923C08"/>
    <w:rsid w:val="00927963"/>
    <w:rsid w:val="00947C32"/>
    <w:rsid w:val="009679A2"/>
    <w:rsid w:val="00992126"/>
    <w:rsid w:val="00996912"/>
    <w:rsid w:val="009B0668"/>
    <w:rsid w:val="009B47DE"/>
    <w:rsid w:val="009D1A30"/>
    <w:rsid w:val="009E3152"/>
    <w:rsid w:val="009E3407"/>
    <w:rsid w:val="00A01CB8"/>
    <w:rsid w:val="00A05D77"/>
    <w:rsid w:val="00A12C39"/>
    <w:rsid w:val="00A35EE7"/>
    <w:rsid w:val="00A41695"/>
    <w:rsid w:val="00A51C23"/>
    <w:rsid w:val="00A53142"/>
    <w:rsid w:val="00A5357E"/>
    <w:rsid w:val="00A57119"/>
    <w:rsid w:val="00A81E75"/>
    <w:rsid w:val="00A823F8"/>
    <w:rsid w:val="00A844C5"/>
    <w:rsid w:val="00AC3419"/>
    <w:rsid w:val="00AE1430"/>
    <w:rsid w:val="00AF2A0A"/>
    <w:rsid w:val="00B016E7"/>
    <w:rsid w:val="00B13254"/>
    <w:rsid w:val="00B211E4"/>
    <w:rsid w:val="00B3614E"/>
    <w:rsid w:val="00B61EEE"/>
    <w:rsid w:val="00B9137C"/>
    <w:rsid w:val="00BA49C4"/>
    <w:rsid w:val="00BB61B6"/>
    <w:rsid w:val="00BC233A"/>
    <w:rsid w:val="00BD3997"/>
    <w:rsid w:val="00BE7D13"/>
    <w:rsid w:val="00BF7BDB"/>
    <w:rsid w:val="00C009B6"/>
    <w:rsid w:val="00C47186"/>
    <w:rsid w:val="00C56BA2"/>
    <w:rsid w:val="00C7508F"/>
    <w:rsid w:val="00CD08C9"/>
    <w:rsid w:val="00CF4977"/>
    <w:rsid w:val="00D25F85"/>
    <w:rsid w:val="00D4059C"/>
    <w:rsid w:val="00D45861"/>
    <w:rsid w:val="00D46F41"/>
    <w:rsid w:val="00D51C6B"/>
    <w:rsid w:val="00D65BA4"/>
    <w:rsid w:val="00D8189C"/>
    <w:rsid w:val="00D82F0E"/>
    <w:rsid w:val="00DB744D"/>
    <w:rsid w:val="00DC78D5"/>
    <w:rsid w:val="00DD4D18"/>
    <w:rsid w:val="00DD62E6"/>
    <w:rsid w:val="00DF73E8"/>
    <w:rsid w:val="00E25F07"/>
    <w:rsid w:val="00E301F1"/>
    <w:rsid w:val="00E558AE"/>
    <w:rsid w:val="00E667EA"/>
    <w:rsid w:val="00E746B0"/>
    <w:rsid w:val="00E818E9"/>
    <w:rsid w:val="00E82A34"/>
    <w:rsid w:val="00E95F43"/>
    <w:rsid w:val="00EC496E"/>
    <w:rsid w:val="00EE084C"/>
    <w:rsid w:val="00F01CA5"/>
    <w:rsid w:val="00F0268C"/>
    <w:rsid w:val="00F06BC4"/>
    <w:rsid w:val="00F36086"/>
    <w:rsid w:val="00F54E0B"/>
    <w:rsid w:val="00F670DD"/>
    <w:rsid w:val="00F70648"/>
    <w:rsid w:val="00FC17CB"/>
    <w:rsid w:val="00FD0FAD"/>
    <w:rsid w:val="00FE6306"/>
    <w:rsid w:val="00FF7741"/>
    <w:rsid w:val="0329020F"/>
    <w:rsid w:val="04980375"/>
    <w:rsid w:val="04AA33B1"/>
    <w:rsid w:val="08EE2A96"/>
    <w:rsid w:val="09756E61"/>
    <w:rsid w:val="097B4B5C"/>
    <w:rsid w:val="09D93D68"/>
    <w:rsid w:val="0F3269B3"/>
    <w:rsid w:val="12671F57"/>
    <w:rsid w:val="166A747C"/>
    <w:rsid w:val="17D36DC8"/>
    <w:rsid w:val="19A0653A"/>
    <w:rsid w:val="1A9A01F1"/>
    <w:rsid w:val="1B6709BF"/>
    <w:rsid w:val="1C337BBB"/>
    <w:rsid w:val="1D545252"/>
    <w:rsid w:val="200A09E3"/>
    <w:rsid w:val="20185698"/>
    <w:rsid w:val="20475CB7"/>
    <w:rsid w:val="21115F11"/>
    <w:rsid w:val="26C3517C"/>
    <w:rsid w:val="27BD77B9"/>
    <w:rsid w:val="27E52BFD"/>
    <w:rsid w:val="2B3F7B88"/>
    <w:rsid w:val="33B227B5"/>
    <w:rsid w:val="35B55AA7"/>
    <w:rsid w:val="3A1C2108"/>
    <w:rsid w:val="3B9A1A42"/>
    <w:rsid w:val="3F0B416F"/>
    <w:rsid w:val="41040125"/>
    <w:rsid w:val="424209FB"/>
    <w:rsid w:val="47A16E12"/>
    <w:rsid w:val="4E5A6D6F"/>
    <w:rsid w:val="4FC70236"/>
    <w:rsid w:val="507D1A17"/>
    <w:rsid w:val="50CE5B55"/>
    <w:rsid w:val="51245590"/>
    <w:rsid w:val="5150387B"/>
    <w:rsid w:val="521827E2"/>
    <w:rsid w:val="523374E3"/>
    <w:rsid w:val="52F80374"/>
    <w:rsid w:val="5337CA14"/>
    <w:rsid w:val="54CA7B2B"/>
    <w:rsid w:val="56B50904"/>
    <w:rsid w:val="56F2369C"/>
    <w:rsid w:val="58CE0E5C"/>
    <w:rsid w:val="5D663BC2"/>
    <w:rsid w:val="5F857DC3"/>
    <w:rsid w:val="5F895B49"/>
    <w:rsid w:val="5FFF5B32"/>
    <w:rsid w:val="617B54FB"/>
    <w:rsid w:val="62334A02"/>
    <w:rsid w:val="6C726189"/>
    <w:rsid w:val="6C8C53CB"/>
    <w:rsid w:val="6F4A7AF0"/>
    <w:rsid w:val="705320C0"/>
    <w:rsid w:val="71374B14"/>
    <w:rsid w:val="71472673"/>
    <w:rsid w:val="71E91A60"/>
    <w:rsid w:val="75CE58C9"/>
    <w:rsid w:val="76CF6F4E"/>
    <w:rsid w:val="77191054"/>
    <w:rsid w:val="77D11EA6"/>
    <w:rsid w:val="7AAC2F40"/>
    <w:rsid w:val="7C1E2F09"/>
    <w:rsid w:val="ADB71D02"/>
    <w:rsid w:val="CCD97B1C"/>
    <w:rsid w:val="DBDDC062"/>
    <w:rsid w:val="E7EF5A66"/>
    <w:rsid w:val="EF4F01CE"/>
    <w:rsid w:val="F97EF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0"/>
    <w:pPr>
      <w:jc w:val="left"/>
    </w:pPr>
  </w:style>
  <w:style w:type="paragraph" w:styleId="3">
    <w:name w:val="Balloon Text"/>
    <w:basedOn w:val="1"/>
    <w:link w:val="18"/>
    <w:autoRedefine/>
    <w:qFormat/>
    <w:uiPriority w:val="0"/>
    <w:rPr>
      <w:sz w:val="18"/>
      <w:szCs w:val="18"/>
    </w:rPr>
  </w:style>
  <w:style w:type="paragraph" w:styleId="4">
    <w:name w:val="footer"/>
    <w:basedOn w:val="1"/>
    <w:link w:val="16"/>
    <w:autoRedefine/>
    <w:qFormat/>
    <w:uiPriority w:val="99"/>
    <w:pPr>
      <w:tabs>
        <w:tab w:val="center" w:pos="4153"/>
        <w:tab w:val="right" w:pos="8306"/>
      </w:tabs>
      <w:snapToGrid w:val="0"/>
      <w:jc w:val="left"/>
    </w:pPr>
    <w:rPr>
      <w:sz w:val="18"/>
      <w:szCs w:val="18"/>
    </w:rPr>
  </w:style>
  <w:style w:type="paragraph" w:styleId="5">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semiHidden/>
    <w:unhideWhenUsed/>
    <w:qFormat/>
    <w:uiPriority w:val="0"/>
    <w:pPr>
      <w:snapToGrid w:val="0"/>
      <w:jc w:val="left"/>
    </w:pPr>
    <w:rPr>
      <w:sz w:val="18"/>
    </w:rPr>
  </w:style>
  <w:style w:type="paragraph" w:styleId="7">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
    <w:name w:val="annotation subject"/>
    <w:basedOn w:val="2"/>
    <w:next w:val="2"/>
    <w:link w:val="20"/>
    <w:autoRedefine/>
    <w:qFormat/>
    <w:uiPriority w:val="0"/>
    <w:rPr>
      <w:b/>
      <w:bCs/>
    </w:rPr>
  </w:style>
  <w:style w:type="character" w:styleId="11">
    <w:name w:val="Hyperlink"/>
    <w:basedOn w:val="10"/>
    <w:autoRedefine/>
    <w:unhideWhenUsed/>
    <w:qFormat/>
    <w:uiPriority w:val="0"/>
    <w:rPr>
      <w:color w:val="0563C1" w:themeColor="hyperlink"/>
      <w:u w:val="single"/>
      <w14:textFill>
        <w14:solidFill>
          <w14:schemeClr w14:val="hlink"/>
        </w14:solidFill>
      </w14:textFill>
    </w:rPr>
  </w:style>
  <w:style w:type="character" w:styleId="12">
    <w:name w:val="annotation reference"/>
    <w:basedOn w:val="10"/>
    <w:autoRedefine/>
    <w:qFormat/>
    <w:uiPriority w:val="0"/>
    <w:rPr>
      <w:sz w:val="21"/>
      <w:szCs w:val="21"/>
    </w:rPr>
  </w:style>
  <w:style w:type="character" w:styleId="13">
    <w:name w:val="footnote reference"/>
    <w:basedOn w:val="10"/>
    <w:autoRedefine/>
    <w:semiHidden/>
    <w:unhideWhenUsed/>
    <w:qFormat/>
    <w:uiPriority w:val="0"/>
    <w:rPr>
      <w:vertAlign w:val="superscript"/>
    </w:rPr>
  </w:style>
  <w:style w:type="paragraph" w:customStyle="1" w:styleId="1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页眉 字符"/>
    <w:basedOn w:val="10"/>
    <w:link w:val="5"/>
    <w:autoRedefine/>
    <w:qFormat/>
    <w:uiPriority w:val="0"/>
    <w:rPr>
      <w:kern w:val="2"/>
      <w:sz w:val="18"/>
      <w:szCs w:val="18"/>
    </w:rPr>
  </w:style>
  <w:style w:type="character" w:customStyle="1" w:styleId="16">
    <w:name w:val="页脚 字符"/>
    <w:basedOn w:val="10"/>
    <w:link w:val="4"/>
    <w:autoRedefine/>
    <w:qFormat/>
    <w:uiPriority w:val="99"/>
    <w:rPr>
      <w:kern w:val="2"/>
      <w:sz w:val="18"/>
      <w:szCs w:val="18"/>
    </w:rPr>
  </w:style>
  <w:style w:type="paragraph" w:styleId="17">
    <w:name w:val="List Paragraph"/>
    <w:basedOn w:val="1"/>
    <w:autoRedefine/>
    <w:qFormat/>
    <w:uiPriority w:val="34"/>
    <w:pPr>
      <w:ind w:firstLine="420" w:firstLineChars="200"/>
    </w:pPr>
    <w:rPr>
      <w:rFonts w:ascii="Calibri" w:hAnsi="Calibri" w:eastAsia="宋体" w:cs="Times New Roman"/>
    </w:rPr>
  </w:style>
  <w:style w:type="character" w:customStyle="1" w:styleId="18">
    <w:name w:val="批注框文本 字符"/>
    <w:basedOn w:val="10"/>
    <w:link w:val="3"/>
    <w:autoRedefine/>
    <w:qFormat/>
    <w:uiPriority w:val="0"/>
    <w:rPr>
      <w:kern w:val="2"/>
      <w:sz w:val="18"/>
      <w:szCs w:val="18"/>
    </w:rPr>
  </w:style>
  <w:style w:type="character" w:customStyle="1" w:styleId="19">
    <w:name w:val="批注文字 字符"/>
    <w:basedOn w:val="10"/>
    <w:link w:val="2"/>
    <w:autoRedefine/>
    <w:qFormat/>
    <w:uiPriority w:val="0"/>
    <w:rPr>
      <w:kern w:val="2"/>
      <w:sz w:val="21"/>
      <w:szCs w:val="22"/>
    </w:rPr>
  </w:style>
  <w:style w:type="character" w:customStyle="1" w:styleId="20">
    <w:name w:val="批注主题 字符"/>
    <w:basedOn w:val="19"/>
    <w:link w:val="8"/>
    <w:autoRedefine/>
    <w:qFormat/>
    <w:uiPriority w:val="0"/>
    <w:rPr>
      <w:b/>
      <w:bCs/>
      <w:kern w:val="2"/>
      <w:sz w:val="21"/>
      <w:szCs w:val="22"/>
    </w:rPr>
  </w:style>
  <w:style w:type="paragraph" w:customStyle="1" w:styleId="2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3370</Words>
  <Characters>3497</Characters>
  <Lines>25</Lines>
  <Paragraphs>7</Paragraphs>
  <TotalTime>1</TotalTime>
  <ScaleCrop>false</ScaleCrop>
  <LinksUpToDate>false</LinksUpToDate>
  <CharactersWithSpaces>3513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2022-08-20T06:47:00Z</dcterms:created>
  <dc:creator>BJB-ZB-03</dc:creator>
  <cp:lastModifiedBy>雯亦</cp:lastModifiedBy>
  <dcterms:modified xsi:type="dcterms:W3CDTF">2024-11-27T09:55:54Z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0E7FE6CAB7DA47F896917BA5E7E71A45_13</vt:lpwstr>
  </property>
</Properties>
</file>