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4B2C">
      <w:pPr>
        <w:pStyle w:val="3"/>
        <w:spacing w:before="48" w:line="218" w:lineRule="auto"/>
        <w:ind w:left="155"/>
        <w:rPr>
          <w:rFonts w:hint="default" w:ascii="Times New Roman" w:hAnsi="Times New Roman" w:eastAsia="宋体" w:cs="Times New Roman"/>
          <w:lang w:val="en-US" w:eastAsia="zh-CN"/>
        </w:rPr>
      </w:pPr>
      <w:r>
        <w:rPr>
          <w:rFonts w:ascii="Times New Roman" w:hAnsi="Times New Roman" w:eastAsia="宋体"/>
          <w:lang w:eastAsia="zh-CN"/>
        </w:rPr>
        <w:t>证券代码：</w:t>
      </w:r>
      <w:r>
        <w:rPr>
          <w:rFonts w:ascii="Times New Roman" w:hAnsi="Times New Roman" w:eastAsia="宋体" w:cs="Times New Roman"/>
          <w:lang w:eastAsia="zh-CN"/>
        </w:rPr>
        <w:t>603</w:t>
      </w:r>
      <w:r>
        <w:rPr>
          <w:rFonts w:hint="eastAsia" w:ascii="Times New Roman" w:hAnsi="Times New Roman" w:eastAsia="宋体" w:cs="Times New Roman"/>
          <w:lang w:eastAsia="zh-CN"/>
        </w:rPr>
        <w:t>191</w:t>
      </w:r>
      <w:r>
        <w:rPr>
          <w:rFonts w:ascii="Times New Roman" w:hAnsi="Times New Roman" w:eastAsia="宋体" w:cs="Times New Roman"/>
          <w:lang w:eastAsia="zh-CN"/>
        </w:rPr>
        <w:t xml:space="preserve">              </w:t>
      </w:r>
      <w:r>
        <w:rPr>
          <w:rFonts w:hint="eastAsia" w:ascii="Times New Roman" w:hAnsi="Times New Roman" w:cs="Times New Roman"/>
          <w:lang w:val="en-US" w:eastAsia="zh-CN"/>
        </w:rPr>
        <w:t xml:space="preserve"> </w:t>
      </w:r>
      <w:r>
        <w:rPr>
          <w:rFonts w:ascii="Times New Roman" w:hAnsi="Times New Roman" w:eastAsia="宋体" w:cs="Times New Roman"/>
          <w:lang w:eastAsia="zh-CN"/>
        </w:rPr>
        <w:t xml:space="preserve">  </w:t>
      </w:r>
      <w:r>
        <w:rPr>
          <w:rFonts w:hint="eastAsia" w:ascii="Times New Roman" w:hAnsi="Times New Roman" w:cs="Times New Roman"/>
          <w:lang w:val="en-US" w:eastAsia="zh-CN"/>
        </w:rPr>
        <w:t xml:space="preserve"> </w:t>
      </w:r>
      <w:r>
        <w:rPr>
          <w:rFonts w:ascii="Times New Roman" w:hAnsi="Times New Roman" w:eastAsia="宋体" w:cs="Times New Roman"/>
          <w:lang w:eastAsia="zh-CN"/>
        </w:rPr>
        <w:t xml:space="preserve">  </w:t>
      </w:r>
      <w:r>
        <w:rPr>
          <w:rFonts w:ascii="Times New Roman" w:hAnsi="Times New Roman" w:eastAsia="宋体"/>
          <w:lang w:eastAsia="zh-CN"/>
        </w:rPr>
        <w:t>证券简称：</w:t>
      </w:r>
      <w:r>
        <w:rPr>
          <w:rFonts w:hint="eastAsia" w:ascii="Times New Roman" w:hAnsi="Times New Roman" w:eastAsia="宋体"/>
          <w:lang w:eastAsia="zh-CN"/>
        </w:rPr>
        <w:t>望变电气</w:t>
      </w:r>
      <w:r>
        <w:rPr>
          <w:rFonts w:ascii="Times New Roman" w:hAnsi="Times New Roman" w:eastAsia="宋体"/>
          <w:lang w:eastAsia="zh-CN"/>
        </w:rPr>
        <w:t xml:space="preserve">      </w:t>
      </w:r>
      <w:r>
        <w:rPr>
          <w:rFonts w:hint="eastAsia" w:ascii="Times New Roman" w:hAnsi="Times New Roman"/>
          <w:lang w:val="en-US" w:eastAsia="zh-CN"/>
        </w:rPr>
        <w:t xml:space="preserve">   </w:t>
      </w:r>
      <w:r>
        <w:rPr>
          <w:rFonts w:ascii="Times New Roman" w:hAnsi="Times New Roman" w:eastAsia="宋体"/>
          <w:lang w:eastAsia="zh-CN"/>
        </w:rPr>
        <w:t xml:space="preserve"> </w:t>
      </w:r>
      <w:r>
        <w:rPr>
          <w:rFonts w:hint="eastAsia" w:ascii="Times New Roman" w:hAnsi="Times New Roman"/>
          <w:lang w:val="en-US" w:eastAsia="zh-CN"/>
        </w:rPr>
        <w:t xml:space="preserve">   </w:t>
      </w:r>
      <w:r>
        <w:rPr>
          <w:rFonts w:ascii="Times New Roman" w:hAnsi="Times New Roman" w:eastAsia="宋体"/>
          <w:lang w:eastAsia="zh-CN"/>
        </w:rPr>
        <w:t xml:space="preserve"> 公告</w:t>
      </w:r>
      <w:r>
        <w:rPr>
          <w:rFonts w:ascii="Times New Roman" w:hAnsi="Times New Roman" w:eastAsia="宋体"/>
          <w:highlight w:val="none"/>
          <w:lang w:eastAsia="zh-CN"/>
        </w:rPr>
        <w:t>编</w:t>
      </w:r>
      <w:r>
        <w:rPr>
          <w:rFonts w:ascii="Times New Roman" w:hAnsi="Times New Roman" w:eastAsia="宋体"/>
          <w:spacing w:val="-1"/>
          <w:highlight w:val="none"/>
          <w:lang w:eastAsia="zh-CN"/>
        </w:rPr>
        <w:t>号：</w:t>
      </w:r>
      <w:r>
        <w:rPr>
          <w:rFonts w:ascii="Times New Roman" w:hAnsi="Times New Roman" w:eastAsia="宋体" w:cs="Times New Roman"/>
          <w:spacing w:val="-1"/>
          <w:highlight w:val="none"/>
          <w:lang w:eastAsia="zh-CN"/>
        </w:rPr>
        <w:t>202</w:t>
      </w:r>
      <w:r>
        <w:rPr>
          <w:rFonts w:hint="eastAsia" w:ascii="Times New Roman" w:hAnsi="Times New Roman" w:eastAsia="宋体" w:cs="Times New Roman"/>
          <w:spacing w:val="-1"/>
          <w:highlight w:val="none"/>
          <w:lang w:eastAsia="zh-CN"/>
        </w:rPr>
        <w:t>4-</w:t>
      </w:r>
      <w:r>
        <w:rPr>
          <w:rFonts w:hint="eastAsia" w:ascii="Times New Roman" w:hAnsi="Times New Roman" w:cs="Times New Roman"/>
          <w:spacing w:val="-1"/>
          <w:highlight w:val="none"/>
          <w:lang w:val="en-US" w:eastAsia="zh-CN"/>
        </w:rPr>
        <w:t>073</w:t>
      </w:r>
    </w:p>
    <w:p w14:paraId="539E922D">
      <w:pPr>
        <w:spacing w:line="242" w:lineRule="auto"/>
        <w:rPr>
          <w:rFonts w:ascii="Times New Roman" w:hAnsi="Times New Roman" w:eastAsia="宋体"/>
          <w:lang w:eastAsia="zh-CN"/>
        </w:rPr>
      </w:pPr>
    </w:p>
    <w:p w14:paraId="055AB539">
      <w:pPr>
        <w:spacing w:line="243" w:lineRule="auto"/>
        <w:rPr>
          <w:rFonts w:ascii="Times New Roman" w:hAnsi="Times New Roman" w:eastAsia="宋体"/>
          <w:lang w:eastAsia="zh-CN"/>
        </w:rPr>
      </w:pPr>
    </w:p>
    <w:p w14:paraId="03E6FC44">
      <w:pPr>
        <w:spacing w:before="140" w:line="222" w:lineRule="auto"/>
        <w:jc w:val="center"/>
        <w:rPr>
          <w:rFonts w:hint="eastAsia" w:ascii="黑体" w:hAnsi="黑体" w:eastAsia="黑体" w:cs="黑体"/>
          <w:sz w:val="43"/>
          <w:szCs w:val="43"/>
          <w:lang w:eastAsia="zh-CN"/>
        </w:rPr>
      </w:pPr>
      <w:r>
        <w:rPr>
          <w:rFonts w:hint="eastAsia" w:ascii="黑体" w:hAnsi="黑体" w:eastAsia="黑体" w:cs="黑体"/>
          <w:color w:val="FF0000"/>
          <w:spacing w:val="8"/>
          <w:sz w:val="43"/>
          <w:szCs w:val="43"/>
          <w:lang w:eastAsia="zh-CN"/>
        </w:rPr>
        <w:t>重庆望变电气（集团）股份有限公司</w:t>
      </w:r>
    </w:p>
    <w:p w14:paraId="4F6864CA">
      <w:pPr>
        <w:spacing w:before="339" w:line="223" w:lineRule="auto"/>
        <w:jc w:val="center"/>
        <w:rPr>
          <w:rFonts w:hint="eastAsia" w:ascii="黑体" w:hAnsi="黑体" w:eastAsia="黑体" w:cs="黑体"/>
          <w:color w:val="FF0000"/>
          <w:spacing w:val="8"/>
          <w:sz w:val="43"/>
          <w:szCs w:val="43"/>
          <w:lang w:eastAsia="zh-CN"/>
        </w:rPr>
      </w:pPr>
      <w:r>
        <w:rPr>
          <w:rFonts w:hint="eastAsia" w:ascii="黑体" w:hAnsi="黑体" w:eastAsia="黑体" w:cs="黑体"/>
          <w:color w:val="FF0000"/>
          <w:spacing w:val="8"/>
          <w:sz w:val="43"/>
          <w:szCs w:val="43"/>
          <w:lang w:eastAsia="zh-CN"/>
        </w:rPr>
        <w:t>关于部分募投项目结项并将节余募集资金</w:t>
      </w:r>
    </w:p>
    <w:p w14:paraId="72EF7A0A">
      <w:pPr>
        <w:spacing w:before="339" w:line="223" w:lineRule="auto"/>
        <w:jc w:val="center"/>
        <w:rPr>
          <w:rFonts w:hint="eastAsia" w:ascii="黑体" w:hAnsi="黑体" w:eastAsia="黑体" w:cs="黑体"/>
          <w:sz w:val="43"/>
          <w:szCs w:val="43"/>
        </w:rPr>
      </w:pPr>
      <w:r>
        <w:rPr>
          <w:rFonts w:hint="eastAsia" w:ascii="黑体" w:hAnsi="黑体" w:eastAsia="黑体" w:cs="黑体"/>
          <w:color w:val="FF0000"/>
          <w:spacing w:val="8"/>
          <w:sz w:val="43"/>
          <w:szCs w:val="43"/>
        </w:rPr>
        <w:t>用于其他</w:t>
      </w:r>
      <w:r>
        <w:rPr>
          <w:rFonts w:hint="eastAsia" w:ascii="黑体" w:hAnsi="黑体" w:eastAsia="黑体" w:cs="黑体"/>
          <w:color w:val="FF0000"/>
          <w:spacing w:val="8"/>
          <w:sz w:val="43"/>
          <w:szCs w:val="43"/>
          <w:lang w:val="en-US" w:eastAsia="zh-CN"/>
        </w:rPr>
        <w:t>募投</w:t>
      </w:r>
      <w:r>
        <w:rPr>
          <w:rFonts w:hint="eastAsia" w:ascii="黑体" w:hAnsi="黑体" w:eastAsia="黑体" w:cs="黑体"/>
          <w:color w:val="FF0000"/>
          <w:spacing w:val="8"/>
          <w:sz w:val="43"/>
          <w:szCs w:val="43"/>
        </w:rPr>
        <w:t>项目的公告</w:t>
      </w:r>
    </w:p>
    <w:p w14:paraId="6829B79C">
      <w:pPr>
        <w:spacing w:before="102"/>
        <w:rPr>
          <w:rFonts w:ascii="Times New Roman" w:hAnsi="Times New Roman" w:eastAsia="宋体"/>
        </w:rPr>
      </w:pPr>
    </w:p>
    <w:p w14:paraId="2375BDC1">
      <w:pPr>
        <w:spacing w:before="101"/>
        <w:rPr>
          <w:rFonts w:ascii="Times New Roman" w:hAnsi="Times New Roman" w:eastAsia="宋体"/>
        </w:rPr>
      </w:pPr>
    </w:p>
    <w:tbl>
      <w:tblPr>
        <w:tblStyle w:val="11"/>
        <w:tblW w:w="8737" w:type="dxa"/>
        <w:tblInd w:w="3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37"/>
      </w:tblGrid>
      <w:tr w14:paraId="724047B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4" w:hRule="atLeast"/>
        </w:trPr>
        <w:tc>
          <w:tcPr>
            <w:tcW w:w="8737" w:type="dxa"/>
          </w:tcPr>
          <w:p w14:paraId="76FD6608">
            <w:pPr>
              <w:spacing w:before="59" w:line="347" w:lineRule="auto"/>
              <w:ind w:left="123" w:right="113" w:firstLine="358"/>
              <w:rPr>
                <w:rFonts w:ascii="Times New Roman" w:hAnsi="Times New Roman" w:eastAsia="宋体" w:cs="宋体"/>
                <w:sz w:val="24"/>
                <w:szCs w:val="24"/>
                <w:lang w:eastAsia="zh-CN"/>
              </w:rPr>
            </w:pPr>
            <w:r>
              <w:rPr>
                <w:rFonts w:ascii="Times New Roman" w:hAnsi="Times New Roman" w:eastAsia="宋体" w:cs="宋体"/>
                <w:spacing w:val="-1"/>
                <w:sz w:val="24"/>
                <w:szCs w:val="24"/>
                <w:lang w:eastAsia="zh-CN"/>
              </w:rPr>
              <w:t>本公司董事会及全体董事保证本公告内容不存在任何虚假记载、误导性陈述或</w:t>
            </w:r>
            <w:r>
              <w:rPr>
                <w:rFonts w:ascii="Times New Roman" w:hAnsi="Times New Roman" w:eastAsia="宋体" w:cs="宋体"/>
                <w:spacing w:val="8"/>
                <w:sz w:val="24"/>
                <w:szCs w:val="24"/>
                <w:lang w:eastAsia="zh-CN"/>
              </w:rPr>
              <w:t xml:space="preserve"> </w:t>
            </w:r>
            <w:r>
              <w:rPr>
                <w:rFonts w:ascii="Times New Roman" w:hAnsi="Times New Roman" w:eastAsia="宋体" w:cs="宋体"/>
                <w:spacing w:val="-1"/>
                <w:sz w:val="24"/>
                <w:szCs w:val="24"/>
                <w:lang w:eastAsia="zh-CN"/>
              </w:rPr>
              <w:t>者重大遗漏，并对其内容的真实性、准确性和</w:t>
            </w:r>
            <w:r>
              <w:rPr>
                <w:rFonts w:ascii="Times New Roman" w:hAnsi="Times New Roman" w:eastAsia="宋体" w:cs="宋体"/>
                <w:spacing w:val="-2"/>
                <w:sz w:val="24"/>
                <w:szCs w:val="24"/>
                <w:lang w:eastAsia="zh-CN"/>
              </w:rPr>
              <w:t>完整性承担个别及连带责任。</w:t>
            </w:r>
          </w:p>
        </w:tc>
      </w:tr>
    </w:tbl>
    <w:p w14:paraId="270B958A">
      <w:pPr>
        <w:spacing w:line="419" w:lineRule="auto"/>
        <w:rPr>
          <w:rFonts w:ascii="Times New Roman" w:hAnsi="Times New Roman" w:eastAsia="宋体"/>
          <w:lang w:eastAsia="zh-CN"/>
        </w:rPr>
      </w:pPr>
    </w:p>
    <w:p w14:paraId="02749E30">
      <w:pPr>
        <w:pStyle w:val="3"/>
        <w:spacing w:before="78" w:line="560" w:lineRule="exact"/>
        <w:ind w:left="610"/>
        <w:jc w:val="both"/>
        <w:rPr>
          <w:rFonts w:ascii="Times New Roman" w:hAnsi="Times New Roman" w:eastAsia="宋体" w:cstheme="majorEastAsia"/>
          <w:lang w:eastAsia="zh-CN"/>
        </w:rPr>
      </w:pPr>
      <w:r>
        <w:rPr>
          <w:rFonts w:hint="eastAsia" w:ascii="Times New Roman" w:hAnsi="Times New Roman" w:eastAsia="宋体" w:cstheme="majorEastAsia"/>
          <w:b/>
          <w:bCs/>
          <w:spacing w:val="-4"/>
          <w:lang w:eastAsia="zh-CN"/>
        </w:rPr>
        <w:t>重要内容提示：</w:t>
      </w:r>
    </w:p>
    <w:p w14:paraId="4EE53CC0">
      <w:pPr>
        <w:pStyle w:val="3"/>
        <w:spacing w:before="220" w:line="560" w:lineRule="exact"/>
        <w:ind w:left="126" w:right="117" w:firstLine="498"/>
        <w:jc w:val="both"/>
        <w:rPr>
          <w:rFonts w:ascii="Times New Roman" w:hAnsi="Times New Roman" w:eastAsia="宋体" w:cstheme="majorEastAsia"/>
          <w:lang w:eastAsia="zh-CN"/>
        </w:rPr>
      </w:pPr>
      <w:r>
        <w:rPr>
          <w:rFonts w:hint="eastAsia" w:ascii="Times New Roman" w:hAnsi="Times New Roman" w:eastAsia="宋体" w:cstheme="majorEastAsia"/>
          <w:lang w:eastAsia="zh-CN"/>
        </w:rPr>
        <w:t>●  重庆望变电气（集团）股份有限公司（以下简称“公司”）</w:t>
      </w:r>
      <w:r>
        <w:rPr>
          <w:rFonts w:hint="eastAsia" w:ascii="Times New Roman" w:hAnsi="Times New Roman" w:eastAsia="宋体" w:cstheme="majorEastAsia"/>
          <w:lang w:val="en-US" w:eastAsia="zh-CN"/>
        </w:rPr>
        <w:t>拟对</w:t>
      </w:r>
      <w:r>
        <w:rPr>
          <w:rFonts w:hint="eastAsia" w:ascii="Times New Roman" w:hAnsi="Times New Roman" w:eastAsia="宋体" w:cstheme="majorEastAsia"/>
          <w:lang w:eastAsia="zh-CN"/>
        </w:rPr>
        <w:t>首次公开发行股票募集资金投资项目“智能成套电气设备产业基地建设项目”“110kV及以下节能型变压器智能化工厂技改项目”及“研发中心及信息化建设项目”进行结项并将</w:t>
      </w:r>
      <w:r>
        <w:rPr>
          <w:rFonts w:hint="eastAsia" w:ascii="Times New Roman" w:hAnsi="Times New Roman" w:eastAsia="宋体" w:cstheme="majorEastAsia"/>
          <w:sz w:val="24"/>
          <w:szCs w:val="24"/>
          <w:lang w:val="en-US" w:eastAsia="zh-CN"/>
        </w:rPr>
        <w:t>节余募集资金</w:t>
      </w:r>
      <w:r>
        <w:rPr>
          <w:rFonts w:hint="eastAsia" w:ascii="Times New Roman" w:hAnsi="Times New Roman" w:eastAsia="宋体" w:cstheme="majorEastAsia"/>
          <w:lang w:eastAsia="zh-CN"/>
        </w:rPr>
        <w:t>用于“智控设备及金属制品智能工厂建设项目（一期）”</w:t>
      </w:r>
      <w:r>
        <w:rPr>
          <w:rFonts w:hint="eastAsia" w:ascii="Times New Roman" w:hAnsi="Times New Roman" w:eastAsia="宋体" w:cstheme="majorEastAsia"/>
          <w:spacing w:val="-2"/>
          <w:lang w:eastAsia="zh-CN"/>
        </w:rPr>
        <w:t>。</w:t>
      </w:r>
    </w:p>
    <w:p w14:paraId="4B587D20">
      <w:pPr>
        <w:pStyle w:val="3"/>
        <w:spacing w:before="215" w:line="560" w:lineRule="exact"/>
        <w:ind w:left="140" w:right="123" w:firstLine="485"/>
        <w:jc w:val="both"/>
        <w:rPr>
          <w:rFonts w:ascii="Times New Roman" w:hAnsi="Times New Roman" w:eastAsia="宋体" w:cstheme="majorEastAsia"/>
          <w:highlight w:val="yellow"/>
          <w:lang w:eastAsia="zh-CN"/>
        </w:rPr>
      </w:pPr>
      <w:r>
        <w:rPr>
          <w:rFonts w:hint="eastAsia" w:ascii="Times New Roman" w:hAnsi="Times New Roman" w:eastAsia="宋体" w:cstheme="majorEastAsia"/>
          <w:lang w:eastAsia="zh-CN"/>
        </w:rPr>
        <w:t>●  本次事项已经公司第四届董事会第</w:t>
      </w:r>
      <w:r>
        <w:rPr>
          <w:rFonts w:hint="eastAsia" w:ascii="Times New Roman" w:hAnsi="Times New Roman" w:cstheme="majorEastAsia"/>
          <w:lang w:val="en-US" w:eastAsia="zh-CN"/>
        </w:rPr>
        <w:t>九</w:t>
      </w:r>
      <w:r>
        <w:rPr>
          <w:rFonts w:hint="eastAsia" w:ascii="Times New Roman" w:hAnsi="Times New Roman" w:eastAsia="宋体" w:cstheme="majorEastAsia"/>
          <w:lang w:eastAsia="zh-CN"/>
        </w:rPr>
        <w:t>次会议和第四届监事会第</w:t>
      </w:r>
      <w:r>
        <w:rPr>
          <w:rFonts w:hint="eastAsia" w:ascii="Times New Roman" w:hAnsi="Times New Roman" w:cstheme="majorEastAsia"/>
          <w:lang w:val="en-US" w:eastAsia="zh-CN"/>
        </w:rPr>
        <w:t>八</w:t>
      </w:r>
      <w:r>
        <w:rPr>
          <w:rFonts w:hint="eastAsia" w:ascii="Times New Roman" w:hAnsi="Times New Roman" w:eastAsia="宋体" w:cstheme="majorEastAsia"/>
          <w:lang w:eastAsia="zh-CN"/>
        </w:rPr>
        <w:t>次会议审</w:t>
      </w:r>
      <w:r>
        <w:rPr>
          <w:rFonts w:hint="eastAsia" w:ascii="Times New Roman" w:hAnsi="Times New Roman" w:eastAsia="宋体" w:cstheme="majorEastAsia"/>
          <w:highlight w:val="none"/>
          <w:lang w:eastAsia="zh-CN"/>
        </w:rPr>
        <w:t>议通过，</w:t>
      </w:r>
      <w:r>
        <w:rPr>
          <w:rFonts w:hint="eastAsia" w:ascii="Times New Roman" w:hAnsi="Times New Roman" w:eastAsia="宋体" w:cstheme="majorEastAsia"/>
          <w:sz w:val="24"/>
          <w:szCs w:val="24"/>
          <w:highlight w:val="none"/>
          <w:lang w:eastAsia="zh-CN"/>
        </w:rPr>
        <w:t>保荐</w:t>
      </w:r>
      <w:r>
        <w:rPr>
          <w:rFonts w:hint="eastAsia" w:ascii="Times New Roman" w:hAnsi="Times New Roman" w:eastAsia="宋体" w:cstheme="majorEastAsia"/>
          <w:sz w:val="24"/>
          <w:szCs w:val="24"/>
          <w:highlight w:val="none"/>
          <w:lang w:val="en-US" w:eastAsia="zh-CN"/>
        </w:rPr>
        <w:t>人</w:t>
      </w:r>
      <w:r>
        <w:rPr>
          <w:rFonts w:hint="eastAsia" w:ascii="Times New Roman" w:hAnsi="Times New Roman" w:eastAsia="宋体" w:cstheme="majorEastAsia"/>
          <w:sz w:val="24"/>
          <w:szCs w:val="24"/>
          <w:highlight w:val="none"/>
          <w:lang w:eastAsia="zh-CN"/>
        </w:rPr>
        <w:t>发表了同意的核查意见。</w:t>
      </w:r>
      <w:r>
        <w:rPr>
          <w:rFonts w:hint="eastAsia" w:ascii="Times New Roman" w:hAnsi="Times New Roman" w:eastAsia="宋体" w:cstheme="majorEastAsia"/>
          <w:highlight w:val="none"/>
          <w:lang w:eastAsia="zh-CN"/>
        </w:rPr>
        <w:t>本次事项</w:t>
      </w:r>
      <w:r>
        <w:rPr>
          <w:rFonts w:hint="eastAsia" w:ascii="Times New Roman" w:hAnsi="Times New Roman" w:eastAsia="宋体" w:cstheme="majorEastAsia"/>
          <w:highlight w:val="none"/>
          <w:lang w:val="en-US" w:eastAsia="zh-CN"/>
        </w:rPr>
        <w:t>无</w:t>
      </w:r>
      <w:r>
        <w:rPr>
          <w:rFonts w:hint="eastAsia" w:ascii="Times New Roman" w:hAnsi="Times New Roman" w:eastAsia="宋体" w:cstheme="majorEastAsia"/>
          <w:spacing w:val="-5"/>
          <w:highlight w:val="none"/>
          <w:lang w:eastAsia="zh-CN"/>
        </w:rPr>
        <w:t>需提交公司</w:t>
      </w:r>
      <w:r>
        <w:rPr>
          <w:rFonts w:hint="eastAsia" w:ascii="Times New Roman" w:hAnsi="Times New Roman" w:cstheme="majorEastAsia"/>
          <w:spacing w:val="-5"/>
          <w:highlight w:val="none"/>
          <w:lang w:eastAsia="zh-CN"/>
        </w:rPr>
        <w:t>股东会</w:t>
      </w:r>
      <w:r>
        <w:rPr>
          <w:rFonts w:hint="eastAsia" w:ascii="Times New Roman" w:hAnsi="Times New Roman" w:eastAsia="宋体" w:cstheme="majorEastAsia"/>
          <w:spacing w:val="-5"/>
          <w:highlight w:val="none"/>
          <w:lang w:eastAsia="zh-CN"/>
        </w:rPr>
        <w:t>审议。</w:t>
      </w:r>
    </w:p>
    <w:p w14:paraId="1CC50A45">
      <w:pPr>
        <w:pStyle w:val="3"/>
        <w:spacing w:before="219" w:line="560" w:lineRule="exact"/>
        <w:ind w:left="134" w:right="32" w:firstLine="490"/>
        <w:jc w:val="both"/>
        <w:rPr>
          <w:rFonts w:ascii="Times New Roman" w:hAnsi="Times New Roman" w:eastAsia="宋体" w:cstheme="majorEastAsia"/>
          <w:lang w:eastAsia="zh-CN"/>
        </w:rPr>
      </w:pPr>
      <w:r>
        <w:rPr>
          <w:rFonts w:hint="eastAsia" w:ascii="Times New Roman" w:hAnsi="Times New Roman" w:eastAsia="宋体" w:cstheme="majorEastAsia"/>
          <w:spacing w:val="-4"/>
          <w:lang w:eastAsia="zh-CN"/>
        </w:rPr>
        <w:t xml:space="preserve">●  </w:t>
      </w:r>
      <w:r>
        <w:rPr>
          <w:rFonts w:hint="eastAsia" w:ascii="Times New Roman" w:hAnsi="Times New Roman" w:eastAsia="宋体" w:cstheme="majorEastAsia"/>
          <w:spacing w:val="-3"/>
          <w:lang w:eastAsia="zh-CN"/>
        </w:rPr>
        <w:t>本</w:t>
      </w:r>
      <w:r>
        <w:rPr>
          <w:rFonts w:hint="eastAsia" w:ascii="Times New Roman" w:hAnsi="Times New Roman" w:eastAsia="宋体"/>
          <w:spacing w:val="-3"/>
          <w:lang w:eastAsia="zh-CN"/>
        </w:rPr>
        <w:t>次事项系</w:t>
      </w:r>
      <w:r>
        <w:rPr>
          <w:rFonts w:hint="eastAsia" w:ascii="Times New Roman" w:hAnsi="Times New Roman" w:eastAsia="宋体" w:cs="宋体"/>
          <w:spacing w:val="-3"/>
          <w:sz w:val="24"/>
          <w:szCs w:val="24"/>
          <w:lang w:val="en-US" w:eastAsia="zh-CN"/>
        </w:rPr>
        <w:t>根据募投项目的实施情况做出的慎重决定，符合公司经营的实际情况，有利于合理优化资源配置，提高募集资金的使用效率</w:t>
      </w:r>
      <w:r>
        <w:rPr>
          <w:rFonts w:hint="eastAsia" w:ascii="Times New Roman" w:hAnsi="Times New Roman" w:eastAsia="宋体"/>
          <w:shd w:val="clear" w:color="auto" w:fill="FFFFFF"/>
          <w:lang w:eastAsia="zh-CN"/>
        </w:rPr>
        <w:t>，符合公司的长期发展规划及全体股东的长远利益，</w:t>
      </w:r>
      <w:r>
        <w:rPr>
          <w:rFonts w:hint="eastAsia" w:ascii="Times New Roman" w:hAnsi="Times New Roman" w:eastAsia="宋体" w:cstheme="majorEastAsia"/>
          <w:spacing w:val="-3"/>
          <w:lang w:eastAsia="zh-CN"/>
        </w:rPr>
        <w:t>不存在损害</w:t>
      </w:r>
      <w:r>
        <w:rPr>
          <w:rFonts w:hint="eastAsia" w:ascii="Times New Roman" w:hAnsi="Times New Roman" w:eastAsia="宋体" w:cstheme="majorEastAsia"/>
          <w:spacing w:val="-3"/>
          <w:sz w:val="24"/>
          <w:szCs w:val="24"/>
          <w:lang w:val="en-US" w:eastAsia="zh-CN"/>
        </w:rPr>
        <w:t>公司及</w:t>
      </w:r>
      <w:r>
        <w:rPr>
          <w:rFonts w:hint="eastAsia" w:ascii="Times New Roman" w:hAnsi="Times New Roman" w:eastAsia="宋体" w:cstheme="majorEastAsia"/>
          <w:spacing w:val="-3"/>
          <w:lang w:eastAsia="zh-CN"/>
        </w:rPr>
        <w:t>股东利益的情形。</w:t>
      </w:r>
    </w:p>
    <w:p w14:paraId="4E27C425">
      <w:pPr>
        <w:pStyle w:val="3"/>
        <w:spacing w:before="78" w:line="351" w:lineRule="auto"/>
        <w:ind w:right="122" w:firstLine="432" w:firstLineChars="200"/>
        <w:jc w:val="both"/>
        <w:rPr>
          <w:rFonts w:ascii="Times New Roman" w:hAnsi="Times New Roman" w:eastAsia="宋体"/>
          <w:spacing w:val="-12"/>
          <w:lang w:eastAsia="zh-CN"/>
        </w:rPr>
      </w:pPr>
    </w:p>
    <w:p w14:paraId="669C996E">
      <w:pPr>
        <w:pStyle w:val="3"/>
        <w:spacing w:before="34" w:line="219" w:lineRule="auto"/>
        <w:ind w:left="641"/>
        <w:outlineLvl w:val="0"/>
        <w:rPr>
          <w:rFonts w:ascii="Times New Roman" w:hAnsi="Times New Roman" w:eastAsia="宋体"/>
          <w:lang w:eastAsia="zh-CN"/>
        </w:rPr>
      </w:pPr>
      <w:r>
        <w:rPr>
          <w:rFonts w:ascii="Times New Roman" w:hAnsi="Times New Roman" w:eastAsia="宋体"/>
          <w:b/>
          <w:bCs/>
          <w:spacing w:val="-3"/>
          <w:lang w:eastAsia="zh-CN"/>
        </w:rPr>
        <w:t>一、募集资金基本情况</w:t>
      </w:r>
    </w:p>
    <w:p w14:paraId="259B7F96">
      <w:pPr>
        <w:widowControl w:val="0"/>
        <w:kinsoku/>
        <w:autoSpaceDE/>
        <w:autoSpaceDN/>
        <w:spacing w:line="560" w:lineRule="exact"/>
        <w:ind w:firstLine="482" w:firstLineChars="200"/>
        <w:textAlignment w:val="auto"/>
        <w:outlineLvl w:val="1"/>
        <w:rPr>
          <w:rFonts w:ascii="Times New Roman" w:hAnsi="Times New Roman" w:eastAsia="宋体"/>
          <w:b/>
          <w:bCs/>
          <w:sz w:val="24"/>
          <w:szCs w:val="24"/>
          <w:lang w:eastAsia="zh-CN"/>
        </w:rPr>
      </w:pPr>
      <w:r>
        <w:rPr>
          <w:rFonts w:hint="eastAsia" w:ascii="Times New Roman" w:hAnsi="Times New Roman" w:eastAsia="宋体"/>
          <w:b/>
          <w:bCs/>
          <w:sz w:val="24"/>
          <w:szCs w:val="24"/>
          <w:lang w:eastAsia="zh-CN"/>
        </w:rPr>
        <w:t>（一）募集资金</w:t>
      </w:r>
      <w:r>
        <w:rPr>
          <w:rFonts w:hint="eastAsia" w:ascii="Times New Roman" w:hAnsi="Times New Roman" w:eastAsia="宋体"/>
          <w:b/>
          <w:bCs/>
          <w:sz w:val="24"/>
          <w:szCs w:val="24"/>
          <w:lang w:val="en-US" w:eastAsia="zh-CN"/>
        </w:rPr>
        <w:t>的到账</w:t>
      </w:r>
      <w:r>
        <w:rPr>
          <w:rFonts w:hint="eastAsia" w:ascii="Times New Roman" w:hAnsi="Times New Roman" w:eastAsia="宋体"/>
          <w:b/>
          <w:bCs/>
          <w:sz w:val="24"/>
          <w:szCs w:val="24"/>
          <w:lang w:eastAsia="zh-CN"/>
        </w:rPr>
        <w:t>情况</w:t>
      </w:r>
      <w:bookmarkStart w:id="0" w:name="_GoBack"/>
      <w:bookmarkEnd w:id="0"/>
    </w:p>
    <w:p w14:paraId="013AB04C">
      <w:pPr>
        <w:widowControl w:val="0"/>
        <w:kinsoku/>
        <w:autoSpaceDE/>
        <w:autoSpaceDN/>
        <w:spacing w:line="560" w:lineRule="exact"/>
        <w:ind w:firstLine="480" w:firstLineChars="200"/>
        <w:jc w:val="both"/>
        <w:textAlignment w:val="auto"/>
        <w:rPr>
          <w:rFonts w:ascii="Times New Roman" w:hAnsi="Times New Roman" w:eastAsia="宋体"/>
          <w:sz w:val="24"/>
          <w:szCs w:val="24"/>
          <w:lang w:eastAsia="zh-CN"/>
        </w:rPr>
      </w:pPr>
      <w:r>
        <w:rPr>
          <w:rFonts w:hint="eastAsia" w:ascii="Times New Roman" w:hAnsi="Times New Roman" w:eastAsia="宋体"/>
          <w:sz w:val="24"/>
          <w:szCs w:val="24"/>
          <w:lang w:eastAsia="zh-CN"/>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021B1939">
      <w:pPr>
        <w:widowControl w:val="0"/>
        <w:kinsoku/>
        <w:autoSpaceDE/>
        <w:autoSpaceDN/>
        <w:spacing w:line="560" w:lineRule="exact"/>
        <w:ind w:firstLine="482" w:firstLineChars="200"/>
        <w:textAlignment w:val="auto"/>
        <w:outlineLvl w:val="1"/>
        <w:rPr>
          <w:rFonts w:ascii="Times New Roman" w:hAnsi="Times New Roman" w:eastAsia="宋体"/>
          <w:b/>
          <w:bCs/>
          <w:sz w:val="24"/>
          <w:szCs w:val="24"/>
          <w:lang w:eastAsia="zh-CN"/>
        </w:rPr>
      </w:pPr>
      <w:r>
        <w:rPr>
          <w:rFonts w:hint="eastAsia" w:ascii="Times New Roman" w:hAnsi="Times New Roman" w:eastAsia="宋体"/>
          <w:b/>
          <w:bCs/>
          <w:sz w:val="24"/>
          <w:szCs w:val="24"/>
          <w:lang w:eastAsia="zh-CN"/>
        </w:rPr>
        <w:t>（二）募集资金的管理情况</w:t>
      </w:r>
    </w:p>
    <w:p w14:paraId="1887BB11">
      <w:pPr>
        <w:widowControl w:val="0"/>
        <w:kinsoku/>
        <w:autoSpaceDE/>
        <w:autoSpaceDN/>
        <w:spacing w:line="560" w:lineRule="exact"/>
        <w:ind w:firstLine="480" w:firstLineChars="200"/>
        <w:jc w:val="both"/>
        <w:textAlignment w:val="auto"/>
        <w:rPr>
          <w:rFonts w:ascii="Times New Roman" w:hAnsi="Times New Roman" w:eastAsia="宋体"/>
          <w:sz w:val="24"/>
          <w:szCs w:val="24"/>
          <w:lang w:eastAsia="zh-CN"/>
        </w:rPr>
      </w:pPr>
      <w:r>
        <w:rPr>
          <w:rFonts w:hint="eastAsia" w:ascii="Times New Roman" w:hAnsi="Times New Roman" w:eastAsia="宋体"/>
          <w:sz w:val="24"/>
          <w:szCs w:val="24"/>
          <w:lang w:eastAsia="zh-CN"/>
        </w:rPr>
        <w:t>根据《上市公司监管指引第2号——上市公司募集资金管理和使用的监管要求》等法律法规和公司《募集资金管理制度》的相关规定，公司对募集资金采用专户存储制度，实行集中管理，并分别在招商银行股份有限公司重庆长寿支行（该专户已于2022年6月22日注销）、重庆三峡银行股份有限公司长寿支行、上海浦东发展银行股份有限公司重庆分行、中信银行股份有限公司重庆分行营业部（该专户已于2023年10月13日注销）、中国农业银行股份有限公司重庆长寿支行（该专户已于2023年6月26日注销）、哈尔滨银行股份有限公司重庆分行开设募集资金专项账户。公司与各开户银行、保荐人签署了募集资金三方监管协议，对公开发行股票募集资金的存放和使用情况进行监督。</w:t>
      </w:r>
    </w:p>
    <w:p w14:paraId="487BD30D">
      <w:pPr>
        <w:widowControl w:val="0"/>
        <w:kinsoku/>
        <w:autoSpaceDE/>
        <w:autoSpaceDN/>
        <w:spacing w:line="560" w:lineRule="exact"/>
        <w:ind w:firstLine="482" w:firstLineChars="200"/>
        <w:textAlignment w:val="auto"/>
        <w:outlineLvl w:val="1"/>
        <w:rPr>
          <w:rFonts w:ascii="Times New Roman" w:hAnsi="Times New Roman" w:eastAsia="宋体"/>
          <w:b/>
          <w:bCs/>
          <w:sz w:val="24"/>
          <w:szCs w:val="24"/>
          <w:lang w:eastAsia="zh-CN"/>
        </w:rPr>
      </w:pPr>
      <w:r>
        <w:rPr>
          <w:rFonts w:hint="eastAsia" w:ascii="Times New Roman" w:hAnsi="Times New Roman" w:eastAsia="宋体"/>
          <w:b/>
          <w:bCs/>
          <w:sz w:val="24"/>
          <w:szCs w:val="24"/>
          <w:lang w:eastAsia="zh-CN"/>
        </w:rPr>
        <w:t>（三）募集资金</w:t>
      </w:r>
      <w:r>
        <w:rPr>
          <w:rFonts w:hint="eastAsia" w:ascii="Times New Roman" w:hAnsi="Times New Roman" w:eastAsia="宋体"/>
          <w:b/>
          <w:bCs/>
          <w:sz w:val="24"/>
          <w:szCs w:val="24"/>
          <w:lang w:val="en-US" w:eastAsia="zh-CN"/>
        </w:rPr>
        <w:t>的</w:t>
      </w:r>
      <w:r>
        <w:rPr>
          <w:rFonts w:hint="eastAsia" w:ascii="Times New Roman" w:hAnsi="Times New Roman" w:eastAsia="宋体"/>
          <w:b/>
          <w:bCs/>
          <w:sz w:val="24"/>
          <w:szCs w:val="24"/>
          <w:lang w:eastAsia="zh-CN"/>
        </w:rPr>
        <w:t>投资情况</w:t>
      </w:r>
    </w:p>
    <w:p w14:paraId="515C7ECD">
      <w:pPr>
        <w:widowControl w:val="0"/>
        <w:kinsoku/>
        <w:autoSpaceDE/>
        <w:autoSpaceDN/>
        <w:spacing w:line="560" w:lineRule="exact"/>
        <w:ind w:firstLine="480" w:firstLineChars="200"/>
        <w:jc w:val="both"/>
        <w:textAlignment w:val="auto"/>
        <w:rPr>
          <w:rFonts w:ascii="Times New Roman" w:hAnsi="Times New Roman" w:eastAsia="宋体"/>
          <w:sz w:val="24"/>
          <w:szCs w:val="24"/>
          <w:lang w:eastAsia="zh-CN"/>
        </w:rPr>
      </w:pPr>
      <w:r>
        <w:rPr>
          <w:rFonts w:hint="eastAsia" w:ascii="Times New Roman" w:hAnsi="Times New Roman" w:eastAsia="宋体"/>
          <w:sz w:val="24"/>
          <w:szCs w:val="24"/>
          <w:lang w:eastAsia="zh-CN"/>
        </w:rPr>
        <w:t>截至2024年</w:t>
      </w:r>
      <w:r>
        <w:rPr>
          <w:rFonts w:hint="eastAsia" w:ascii="Times New Roman" w:hAnsi="Times New Roman" w:eastAsia="宋体"/>
          <w:sz w:val="24"/>
          <w:szCs w:val="24"/>
          <w:lang w:val="en-US" w:eastAsia="zh-CN"/>
        </w:rPr>
        <w:t>10</w:t>
      </w:r>
      <w:r>
        <w:rPr>
          <w:rFonts w:hint="eastAsia" w:ascii="Times New Roman" w:hAnsi="Times New Roman" w:eastAsia="宋体"/>
          <w:sz w:val="24"/>
          <w:szCs w:val="24"/>
          <w:lang w:eastAsia="zh-CN"/>
        </w:rPr>
        <w:t>月3</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日，公司首次公开发行股票募集资金投资情况如下：</w:t>
      </w:r>
    </w:p>
    <w:p w14:paraId="64795995">
      <w:pPr>
        <w:spacing w:line="360" w:lineRule="auto"/>
        <w:ind w:firstLine="420" w:firstLineChars="200"/>
        <w:jc w:val="right"/>
        <w:rPr>
          <w:rFonts w:hint="eastAsia" w:ascii="Times New Roman" w:hAnsi="Times New Roman" w:eastAsia="宋体"/>
        </w:rPr>
      </w:pPr>
      <w:r>
        <w:rPr>
          <w:rFonts w:hint="eastAsia" w:ascii="Times New Roman" w:hAnsi="Times New Roman" w:eastAsia="宋体"/>
        </w:rPr>
        <w:t>单位：万元</w:t>
      </w:r>
    </w:p>
    <w:tbl>
      <w:tblPr>
        <w:tblStyle w:val="8"/>
        <w:tblW w:w="5361"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57" w:type="dxa"/>
          <w:bottom w:w="0" w:type="dxa"/>
          <w:right w:w="57" w:type="dxa"/>
        </w:tblCellMar>
      </w:tblPr>
      <w:tblGrid>
        <w:gridCol w:w="2028"/>
        <w:gridCol w:w="1286"/>
        <w:gridCol w:w="1469"/>
        <w:gridCol w:w="1303"/>
        <w:gridCol w:w="1480"/>
        <w:gridCol w:w="1590"/>
      </w:tblGrid>
      <w:tr w14:paraId="60B1EBC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65" w:hRule="atLeast"/>
          <w:tblHeader/>
          <w:jc w:val="center"/>
        </w:trPr>
        <w:tc>
          <w:tcPr>
            <w:tcW w:w="1107" w:type="pct"/>
            <w:shd w:val="clear" w:color="auto" w:fill="auto"/>
            <w:vAlign w:val="center"/>
          </w:tcPr>
          <w:p w14:paraId="25EB583C">
            <w:pPr>
              <w:widowControl/>
              <w:jc w:val="center"/>
              <w:rPr>
                <w:rFonts w:hint="eastAsia" w:ascii="宋体" w:hAnsi="宋体" w:eastAsia="宋体" w:cs="宋体"/>
                <w:b/>
                <w:bCs/>
                <w:sz w:val="16"/>
                <w:szCs w:val="16"/>
              </w:rPr>
            </w:pPr>
            <w:r>
              <w:rPr>
                <w:rFonts w:hint="eastAsia" w:ascii="宋体" w:hAnsi="宋体" w:eastAsia="宋体" w:cs="宋体"/>
                <w:b/>
                <w:bCs/>
                <w:sz w:val="16"/>
                <w:szCs w:val="16"/>
              </w:rPr>
              <w:t>项目名称</w:t>
            </w:r>
          </w:p>
        </w:tc>
        <w:tc>
          <w:tcPr>
            <w:tcW w:w="702" w:type="pct"/>
            <w:shd w:val="clear" w:color="auto" w:fill="auto"/>
            <w:vAlign w:val="center"/>
          </w:tcPr>
          <w:p w14:paraId="243FED5F">
            <w:pPr>
              <w:widowControl/>
              <w:jc w:val="center"/>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项目总投资</w:t>
            </w:r>
          </w:p>
        </w:tc>
        <w:tc>
          <w:tcPr>
            <w:tcW w:w="802" w:type="pct"/>
            <w:shd w:val="clear" w:color="auto" w:fill="auto"/>
            <w:vAlign w:val="center"/>
          </w:tcPr>
          <w:p w14:paraId="304E1475">
            <w:pPr>
              <w:widowControl/>
              <w:jc w:val="center"/>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募集资金拟投资额</w:t>
            </w:r>
          </w:p>
        </w:tc>
        <w:tc>
          <w:tcPr>
            <w:tcW w:w="711" w:type="pct"/>
            <w:shd w:val="clear" w:color="auto" w:fill="auto"/>
            <w:vAlign w:val="center"/>
          </w:tcPr>
          <w:p w14:paraId="6DB19A61">
            <w:pPr>
              <w:widowControl/>
              <w:jc w:val="center"/>
              <w:rPr>
                <w:rFonts w:hint="eastAsia" w:ascii="宋体" w:hAnsi="宋体" w:eastAsia="宋体" w:cs="宋体"/>
                <w:b/>
                <w:bCs/>
                <w:sz w:val="16"/>
                <w:szCs w:val="16"/>
                <w:lang w:eastAsia="zh-CN"/>
              </w:rPr>
            </w:pPr>
            <w:r>
              <w:rPr>
                <w:rFonts w:hint="eastAsia" w:ascii="宋体" w:hAnsi="宋体" w:eastAsia="宋体" w:cs="宋体"/>
                <w:b/>
                <w:bCs/>
                <w:sz w:val="16"/>
                <w:szCs w:val="16"/>
                <w:lang w:val="en-US" w:eastAsia="zh-CN"/>
              </w:rPr>
              <w:t>已累计投入募集资金金额</w:t>
            </w:r>
          </w:p>
        </w:tc>
        <w:tc>
          <w:tcPr>
            <w:tcW w:w="808" w:type="pct"/>
            <w:shd w:val="clear" w:color="auto" w:fill="auto"/>
            <w:vAlign w:val="center"/>
          </w:tcPr>
          <w:p w14:paraId="66A30CF4">
            <w:pPr>
              <w:widowControl/>
              <w:jc w:val="center"/>
              <w:rPr>
                <w:rFonts w:hint="eastAsia" w:ascii="宋体" w:hAnsi="宋体" w:eastAsia="宋体" w:cs="宋体"/>
                <w:b/>
                <w:bCs/>
                <w:sz w:val="16"/>
                <w:szCs w:val="16"/>
                <w:lang w:val="en-US" w:eastAsia="zh-CN"/>
              </w:rPr>
            </w:pPr>
            <w:r>
              <w:rPr>
                <w:rFonts w:hint="eastAsia" w:ascii="宋体" w:hAnsi="宋体" w:eastAsia="宋体" w:cs="宋体"/>
                <w:b/>
                <w:bCs/>
                <w:sz w:val="16"/>
                <w:szCs w:val="16"/>
                <w:lang w:val="en-US" w:eastAsia="zh-CN"/>
              </w:rPr>
              <w:t>项目达到预定可使用状态日期</w:t>
            </w:r>
          </w:p>
        </w:tc>
        <w:tc>
          <w:tcPr>
            <w:tcW w:w="868" w:type="pct"/>
            <w:shd w:val="clear" w:color="auto" w:fill="auto"/>
            <w:vAlign w:val="center"/>
          </w:tcPr>
          <w:p w14:paraId="350E5188">
            <w:pPr>
              <w:widowControl/>
              <w:jc w:val="center"/>
              <w:rPr>
                <w:rFonts w:hint="default" w:ascii="宋体" w:hAnsi="宋体" w:eastAsia="宋体" w:cs="宋体"/>
                <w:b/>
                <w:bCs/>
                <w:sz w:val="16"/>
                <w:szCs w:val="16"/>
                <w:lang w:val="en-US" w:eastAsia="zh-CN"/>
              </w:rPr>
            </w:pPr>
            <w:r>
              <w:rPr>
                <w:rFonts w:hint="eastAsia" w:ascii="宋体" w:hAnsi="宋体" w:eastAsia="宋体" w:cs="宋体"/>
                <w:b/>
                <w:bCs/>
                <w:sz w:val="16"/>
                <w:szCs w:val="16"/>
                <w:lang w:val="en-US" w:eastAsia="zh-CN"/>
              </w:rPr>
              <w:t>备注</w:t>
            </w:r>
          </w:p>
        </w:tc>
      </w:tr>
      <w:tr w14:paraId="42EC222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30" w:hRule="atLeast"/>
          <w:jc w:val="center"/>
        </w:trPr>
        <w:tc>
          <w:tcPr>
            <w:tcW w:w="1107" w:type="pct"/>
            <w:shd w:val="clear" w:color="auto" w:fill="auto"/>
            <w:vAlign w:val="center"/>
          </w:tcPr>
          <w:p w14:paraId="7545E578">
            <w:pPr>
              <w:widowControl/>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智能成套电气设备产业基地建设项目</w:t>
            </w:r>
          </w:p>
        </w:tc>
        <w:tc>
          <w:tcPr>
            <w:tcW w:w="702" w:type="pct"/>
            <w:shd w:val="clear" w:color="auto" w:fill="auto"/>
            <w:vAlign w:val="center"/>
          </w:tcPr>
          <w:p w14:paraId="011C2E30">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24,268.47</w:t>
            </w:r>
          </w:p>
        </w:tc>
        <w:tc>
          <w:tcPr>
            <w:tcW w:w="802" w:type="pct"/>
            <w:shd w:val="clear" w:color="auto" w:fill="auto"/>
            <w:vAlign w:val="center"/>
          </w:tcPr>
          <w:p w14:paraId="35326887">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24,268.47</w:t>
            </w:r>
          </w:p>
        </w:tc>
        <w:tc>
          <w:tcPr>
            <w:tcW w:w="1303" w:type="dxa"/>
            <w:shd w:val="clear" w:color="auto" w:fill="auto"/>
            <w:vAlign w:val="center"/>
          </w:tcPr>
          <w:p w14:paraId="1AC82490">
            <w:pPr>
              <w:keepNext w:val="0"/>
              <w:keepLines w:val="0"/>
              <w:widowControl/>
              <w:suppressLineNumbers w:val="0"/>
              <w:jc w:val="right"/>
              <w:textAlignment w:val="center"/>
              <w:rPr>
                <w:rFonts w:hint="eastAsia" w:ascii="宋体" w:hAnsi="宋体" w:eastAsia="宋体" w:cs="宋体"/>
                <w:sz w:val="16"/>
                <w:szCs w:val="16"/>
                <w:highlight w:val="none"/>
                <w:lang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21,020.72 </w:t>
            </w:r>
          </w:p>
        </w:tc>
        <w:tc>
          <w:tcPr>
            <w:tcW w:w="808" w:type="pct"/>
            <w:shd w:val="clear" w:color="auto" w:fill="auto"/>
            <w:vAlign w:val="center"/>
          </w:tcPr>
          <w:p w14:paraId="0E9F8D85">
            <w:pPr>
              <w:keepNext w:val="0"/>
              <w:keepLines w:val="0"/>
              <w:widowControl/>
              <w:suppressLineNumbers w:val="0"/>
              <w:jc w:val="right"/>
              <w:textAlignment w:val="center"/>
              <w:rPr>
                <w:rFonts w:hint="eastAsia" w:ascii="宋体" w:hAnsi="宋体" w:eastAsia="宋体" w:cs="宋体"/>
                <w:sz w:val="16"/>
                <w:szCs w:val="16"/>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2024.04</w:t>
            </w:r>
          </w:p>
        </w:tc>
        <w:tc>
          <w:tcPr>
            <w:tcW w:w="868" w:type="pct"/>
            <w:shd w:val="clear" w:color="auto" w:fill="auto"/>
            <w:vAlign w:val="center"/>
          </w:tcPr>
          <w:p w14:paraId="512761EF">
            <w:pPr>
              <w:keepNext w:val="0"/>
              <w:keepLines w:val="0"/>
              <w:widowControl/>
              <w:suppressLineNumbers w:val="0"/>
              <w:jc w:val="left"/>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本次拟结项</w:t>
            </w:r>
          </w:p>
        </w:tc>
      </w:tr>
      <w:tr w14:paraId="75687D4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780" w:hRule="atLeast"/>
          <w:jc w:val="center"/>
        </w:trPr>
        <w:tc>
          <w:tcPr>
            <w:tcW w:w="1107" w:type="pct"/>
            <w:shd w:val="clear" w:color="auto" w:fill="auto"/>
            <w:vAlign w:val="center"/>
          </w:tcPr>
          <w:p w14:paraId="311E70C6">
            <w:pPr>
              <w:widowControl/>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110kV及以下节能型变压器智能化工厂技改项目</w:t>
            </w:r>
          </w:p>
        </w:tc>
        <w:tc>
          <w:tcPr>
            <w:tcW w:w="702" w:type="pct"/>
            <w:shd w:val="clear" w:color="auto" w:fill="auto"/>
            <w:vAlign w:val="center"/>
          </w:tcPr>
          <w:p w14:paraId="4A69EF38">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11,818.17</w:t>
            </w:r>
          </w:p>
        </w:tc>
        <w:tc>
          <w:tcPr>
            <w:tcW w:w="802" w:type="pct"/>
            <w:shd w:val="clear" w:color="auto" w:fill="auto"/>
            <w:vAlign w:val="center"/>
          </w:tcPr>
          <w:p w14:paraId="08932F05">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7,330.59</w:t>
            </w:r>
          </w:p>
        </w:tc>
        <w:tc>
          <w:tcPr>
            <w:tcW w:w="1303" w:type="dxa"/>
            <w:shd w:val="clear" w:color="auto" w:fill="auto"/>
            <w:vAlign w:val="center"/>
          </w:tcPr>
          <w:p w14:paraId="0F387968">
            <w:pPr>
              <w:keepNext w:val="0"/>
              <w:keepLines w:val="0"/>
              <w:widowControl/>
              <w:suppressLineNumbers w:val="0"/>
              <w:jc w:val="right"/>
              <w:textAlignment w:val="center"/>
              <w:rPr>
                <w:rFonts w:hint="eastAsia" w:ascii="宋体" w:hAnsi="宋体" w:eastAsia="宋体" w:cs="宋体"/>
                <w:sz w:val="16"/>
                <w:szCs w:val="16"/>
                <w:highlight w:val="none"/>
                <w:lang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5,144.39 </w:t>
            </w:r>
          </w:p>
        </w:tc>
        <w:tc>
          <w:tcPr>
            <w:tcW w:w="808" w:type="pct"/>
            <w:shd w:val="clear" w:color="auto" w:fill="auto"/>
            <w:vAlign w:val="center"/>
          </w:tcPr>
          <w:p w14:paraId="174A6026">
            <w:pPr>
              <w:keepNext w:val="0"/>
              <w:keepLines w:val="0"/>
              <w:widowControl/>
              <w:suppressLineNumbers w:val="0"/>
              <w:jc w:val="right"/>
              <w:textAlignment w:val="center"/>
              <w:rPr>
                <w:rFonts w:hint="eastAsia" w:ascii="宋体" w:hAnsi="宋体" w:eastAsia="宋体" w:cs="宋体"/>
                <w:sz w:val="16"/>
                <w:szCs w:val="16"/>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2024.04</w:t>
            </w:r>
          </w:p>
        </w:tc>
        <w:tc>
          <w:tcPr>
            <w:tcW w:w="868" w:type="pct"/>
            <w:shd w:val="clear" w:color="auto" w:fill="auto"/>
            <w:vAlign w:val="center"/>
          </w:tcPr>
          <w:p w14:paraId="5DC192C5">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本次拟结项</w:t>
            </w:r>
          </w:p>
        </w:tc>
      </w:tr>
      <w:tr w14:paraId="01FC97C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30" w:hRule="atLeast"/>
          <w:jc w:val="center"/>
        </w:trPr>
        <w:tc>
          <w:tcPr>
            <w:tcW w:w="1107" w:type="pct"/>
            <w:shd w:val="clear" w:color="auto" w:fill="auto"/>
            <w:vAlign w:val="center"/>
          </w:tcPr>
          <w:p w14:paraId="5C34B23F">
            <w:pPr>
              <w:widowControl/>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低铁损高磁感硅钢铁心智能制造项目</w:t>
            </w:r>
          </w:p>
        </w:tc>
        <w:tc>
          <w:tcPr>
            <w:tcW w:w="702" w:type="pct"/>
            <w:shd w:val="clear" w:color="auto" w:fill="auto"/>
            <w:vAlign w:val="center"/>
          </w:tcPr>
          <w:p w14:paraId="122EBAAF">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20,100.00</w:t>
            </w:r>
          </w:p>
        </w:tc>
        <w:tc>
          <w:tcPr>
            <w:tcW w:w="802" w:type="pct"/>
            <w:shd w:val="clear" w:color="auto" w:fill="auto"/>
            <w:vAlign w:val="center"/>
          </w:tcPr>
          <w:p w14:paraId="4ED48FC0">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12,832.68</w:t>
            </w:r>
          </w:p>
        </w:tc>
        <w:tc>
          <w:tcPr>
            <w:tcW w:w="1303" w:type="dxa"/>
            <w:shd w:val="clear" w:color="auto" w:fill="auto"/>
            <w:vAlign w:val="center"/>
          </w:tcPr>
          <w:p w14:paraId="0CEB649B">
            <w:pPr>
              <w:keepNext w:val="0"/>
              <w:keepLines w:val="0"/>
              <w:widowControl/>
              <w:suppressLineNumbers w:val="0"/>
              <w:jc w:val="right"/>
              <w:textAlignment w:val="center"/>
              <w:rPr>
                <w:rFonts w:hint="eastAsia" w:ascii="宋体" w:hAnsi="宋体" w:eastAsia="宋体" w:cs="宋体"/>
                <w:sz w:val="16"/>
                <w:szCs w:val="16"/>
                <w:highlight w:val="none"/>
                <w:lang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13,007.87</w:t>
            </w:r>
          </w:p>
        </w:tc>
        <w:tc>
          <w:tcPr>
            <w:tcW w:w="808" w:type="pct"/>
            <w:shd w:val="clear" w:color="auto" w:fill="auto"/>
            <w:vAlign w:val="center"/>
          </w:tcPr>
          <w:p w14:paraId="67EDE996">
            <w:pPr>
              <w:keepNext w:val="0"/>
              <w:keepLines w:val="0"/>
              <w:widowControl/>
              <w:suppressLineNumbers w:val="0"/>
              <w:jc w:val="right"/>
              <w:textAlignment w:val="center"/>
              <w:rPr>
                <w:rFonts w:hint="eastAsia" w:ascii="宋体" w:hAnsi="宋体" w:eastAsia="宋体" w:cs="宋体"/>
                <w:sz w:val="16"/>
                <w:szCs w:val="16"/>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2023.06</w:t>
            </w:r>
          </w:p>
        </w:tc>
        <w:tc>
          <w:tcPr>
            <w:tcW w:w="868" w:type="pct"/>
            <w:shd w:val="clear" w:color="auto" w:fill="auto"/>
            <w:vAlign w:val="center"/>
          </w:tcPr>
          <w:p w14:paraId="5B1DCE97">
            <w:pPr>
              <w:keepNext w:val="0"/>
              <w:keepLines w:val="0"/>
              <w:widowControl/>
              <w:suppressLineNumbers w:val="0"/>
              <w:jc w:val="left"/>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已注销募集资金专户</w:t>
            </w:r>
          </w:p>
        </w:tc>
      </w:tr>
      <w:tr w14:paraId="4E5F204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30" w:hRule="atLeast"/>
          <w:jc w:val="center"/>
        </w:trPr>
        <w:tc>
          <w:tcPr>
            <w:tcW w:w="1107" w:type="pct"/>
            <w:shd w:val="clear" w:color="auto" w:fill="auto"/>
            <w:vAlign w:val="center"/>
          </w:tcPr>
          <w:p w14:paraId="3911445B">
            <w:pPr>
              <w:widowControl/>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研发中心及信息化建设项目</w:t>
            </w:r>
          </w:p>
        </w:tc>
        <w:tc>
          <w:tcPr>
            <w:tcW w:w="702" w:type="pct"/>
            <w:shd w:val="clear" w:color="auto" w:fill="auto"/>
            <w:vAlign w:val="center"/>
          </w:tcPr>
          <w:p w14:paraId="491DA13C">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6,250.00</w:t>
            </w:r>
          </w:p>
        </w:tc>
        <w:tc>
          <w:tcPr>
            <w:tcW w:w="802" w:type="pct"/>
            <w:shd w:val="clear" w:color="auto" w:fill="auto"/>
            <w:vAlign w:val="center"/>
          </w:tcPr>
          <w:p w14:paraId="56FDB747">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6,250.00</w:t>
            </w:r>
          </w:p>
        </w:tc>
        <w:tc>
          <w:tcPr>
            <w:tcW w:w="1303" w:type="dxa"/>
            <w:shd w:val="clear" w:color="auto" w:fill="auto"/>
            <w:vAlign w:val="center"/>
          </w:tcPr>
          <w:p w14:paraId="6A1F6879">
            <w:pPr>
              <w:keepNext w:val="0"/>
              <w:keepLines w:val="0"/>
              <w:widowControl/>
              <w:suppressLineNumbers w:val="0"/>
              <w:jc w:val="right"/>
              <w:textAlignment w:val="center"/>
              <w:rPr>
                <w:rFonts w:hint="eastAsia" w:ascii="宋体" w:hAnsi="宋体" w:eastAsia="宋体" w:cs="宋体"/>
                <w:sz w:val="16"/>
                <w:szCs w:val="16"/>
                <w:highlight w:val="none"/>
                <w:lang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3,409.23 </w:t>
            </w:r>
          </w:p>
        </w:tc>
        <w:tc>
          <w:tcPr>
            <w:tcW w:w="808" w:type="pct"/>
            <w:shd w:val="clear" w:color="auto" w:fill="auto"/>
            <w:vAlign w:val="center"/>
          </w:tcPr>
          <w:p w14:paraId="2833A6C6">
            <w:pPr>
              <w:keepNext w:val="0"/>
              <w:keepLines w:val="0"/>
              <w:widowControl/>
              <w:suppressLineNumbers w:val="0"/>
              <w:jc w:val="right"/>
              <w:textAlignment w:val="center"/>
              <w:rPr>
                <w:rFonts w:hint="eastAsia" w:ascii="宋体" w:hAnsi="宋体" w:eastAsia="宋体" w:cs="宋体"/>
                <w:sz w:val="16"/>
                <w:szCs w:val="16"/>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2024.04</w:t>
            </w:r>
          </w:p>
        </w:tc>
        <w:tc>
          <w:tcPr>
            <w:tcW w:w="868" w:type="pct"/>
            <w:shd w:val="clear" w:color="auto" w:fill="auto"/>
            <w:vAlign w:val="center"/>
          </w:tcPr>
          <w:p w14:paraId="359A3654">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本次拟结项</w:t>
            </w:r>
          </w:p>
        </w:tc>
      </w:tr>
      <w:tr w14:paraId="7CAEEA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780" w:hRule="atLeast"/>
          <w:jc w:val="center"/>
        </w:trPr>
        <w:tc>
          <w:tcPr>
            <w:tcW w:w="1107" w:type="pct"/>
            <w:shd w:val="clear" w:color="auto" w:fill="auto"/>
            <w:vAlign w:val="center"/>
          </w:tcPr>
          <w:p w14:paraId="206B6070">
            <w:pPr>
              <w:widowControl/>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智控设备及金属制品智能工厂建设项目（一期）</w:t>
            </w:r>
          </w:p>
        </w:tc>
        <w:tc>
          <w:tcPr>
            <w:tcW w:w="702" w:type="pct"/>
            <w:shd w:val="clear" w:color="auto" w:fill="auto"/>
            <w:vAlign w:val="center"/>
          </w:tcPr>
          <w:p w14:paraId="2614BFA8">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24,800.87</w:t>
            </w:r>
          </w:p>
        </w:tc>
        <w:tc>
          <w:tcPr>
            <w:tcW w:w="802" w:type="pct"/>
            <w:shd w:val="clear" w:color="auto" w:fill="auto"/>
            <w:vAlign w:val="center"/>
          </w:tcPr>
          <w:p w14:paraId="6FDD57BC">
            <w:pPr>
              <w:keepNext w:val="0"/>
              <w:keepLines w:val="0"/>
              <w:widowControl/>
              <w:suppressLineNumbers w:val="0"/>
              <w:jc w:val="right"/>
              <w:textAlignment w:val="center"/>
              <w:rPr>
                <w:rFonts w:hint="eastAsia" w:ascii="宋体" w:hAnsi="宋体" w:eastAsia="宋体" w:cs="宋体"/>
                <w:sz w:val="16"/>
                <w:szCs w:val="16"/>
                <w:lang w:eastAsia="zh-CN"/>
              </w:rPr>
            </w:pPr>
            <w:r>
              <w:rPr>
                <w:rFonts w:hint="eastAsia" w:ascii="宋体" w:hAnsi="宋体" w:eastAsia="宋体" w:cs="宋体"/>
                <w:i w:val="0"/>
                <w:iCs w:val="0"/>
                <w:snapToGrid w:val="0"/>
                <w:color w:val="000000"/>
                <w:kern w:val="0"/>
                <w:sz w:val="16"/>
                <w:szCs w:val="16"/>
                <w:u w:val="none"/>
                <w:lang w:val="en-US" w:eastAsia="zh-CN" w:bidi="ar"/>
              </w:rPr>
              <w:t>14,774.44</w:t>
            </w:r>
          </w:p>
        </w:tc>
        <w:tc>
          <w:tcPr>
            <w:tcW w:w="1303" w:type="dxa"/>
            <w:shd w:val="clear" w:color="auto" w:fill="auto"/>
            <w:vAlign w:val="center"/>
          </w:tcPr>
          <w:p w14:paraId="494CE190">
            <w:pPr>
              <w:keepNext w:val="0"/>
              <w:keepLines w:val="0"/>
              <w:widowControl/>
              <w:suppressLineNumbers w:val="0"/>
              <w:jc w:val="right"/>
              <w:textAlignment w:val="center"/>
              <w:rPr>
                <w:rFonts w:hint="eastAsia" w:ascii="宋体" w:hAnsi="宋体" w:eastAsia="宋体" w:cs="宋体"/>
                <w:sz w:val="16"/>
                <w:szCs w:val="16"/>
                <w:highlight w:val="none"/>
                <w:lang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11,940.44  </w:t>
            </w:r>
          </w:p>
        </w:tc>
        <w:tc>
          <w:tcPr>
            <w:tcW w:w="808" w:type="pct"/>
            <w:shd w:val="clear" w:color="auto" w:fill="auto"/>
            <w:vAlign w:val="center"/>
          </w:tcPr>
          <w:p w14:paraId="0E905A8D">
            <w:pPr>
              <w:keepNext w:val="0"/>
              <w:keepLines w:val="0"/>
              <w:widowControl/>
              <w:suppressLineNumbers w:val="0"/>
              <w:jc w:val="right"/>
              <w:textAlignment w:val="center"/>
              <w:rPr>
                <w:rFonts w:hint="eastAsia" w:ascii="宋体" w:hAnsi="宋体" w:eastAsia="宋体" w:cs="宋体"/>
                <w:sz w:val="16"/>
                <w:szCs w:val="16"/>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2024.11</w:t>
            </w:r>
          </w:p>
        </w:tc>
        <w:tc>
          <w:tcPr>
            <w:tcW w:w="868" w:type="pct"/>
            <w:shd w:val="clear" w:color="auto" w:fill="auto"/>
            <w:vAlign w:val="center"/>
          </w:tcPr>
          <w:p w14:paraId="0AC640E2">
            <w:pPr>
              <w:keepNext w:val="0"/>
              <w:keepLines w:val="0"/>
              <w:widowControl/>
              <w:suppressLineNumbers w:val="0"/>
              <w:jc w:val="left"/>
              <w:textAlignment w:val="center"/>
              <w:rPr>
                <w:rFonts w:hint="default" w:ascii="宋体" w:hAnsi="宋体" w:eastAsia="宋体" w:cs="宋体"/>
                <w:i w:val="0"/>
                <w:iCs w:val="0"/>
                <w:snapToGrid w:val="0"/>
                <w:color w:val="000000"/>
                <w:kern w:val="0"/>
                <w:sz w:val="16"/>
                <w:szCs w:val="16"/>
                <w:u w:val="none"/>
                <w:lang w:val="en-US" w:eastAsia="zh-CN" w:bidi="ar"/>
              </w:rPr>
            </w:pPr>
            <w:r>
              <w:rPr>
                <w:rFonts w:hint="default" w:ascii="宋体" w:hAnsi="宋体" w:eastAsia="宋体" w:cs="宋体"/>
                <w:i w:val="0"/>
                <w:iCs w:val="0"/>
                <w:snapToGrid w:val="0"/>
                <w:color w:val="000000"/>
                <w:kern w:val="0"/>
                <w:sz w:val="16"/>
                <w:szCs w:val="16"/>
                <w:u w:val="none"/>
                <w:lang w:val="en-US" w:eastAsia="zh-CN" w:bidi="ar"/>
              </w:rPr>
              <w:t>该项目已达到预定可使用状态，但相关资金支付尚未完成，后续公司将根据合同及项目结项进度进行支付</w:t>
            </w:r>
          </w:p>
        </w:tc>
      </w:tr>
      <w:tr w14:paraId="7243297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396" w:hRule="atLeast"/>
          <w:jc w:val="center"/>
        </w:trPr>
        <w:tc>
          <w:tcPr>
            <w:tcW w:w="1107" w:type="pct"/>
            <w:shd w:val="clear" w:color="auto" w:fill="auto"/>
            <w:vAlign w:val="center"/>
          </w:tcPr>
          <w:p w14:paraId="57FBBE4C">
            <w:pPr>
              <w:widowControl w:val="0"/>
              <w:jc w:val="both"/>
              <w:rPr>
                <w:rFonts w:hint="eastAsia" w:ascii="宋体" w:hAnsi="宋体" w:eastAsia="宋体" w:cs="宋体"/>
                <w:sz w:val="16"/>
                <w:szCs w:val="16"/>
              </w:rPr>
            </w:pPr>
            <w:r>
              <w:rPr>
                <w:rFonts w:hint="eastAsia" w:ascii="宋体" w:hAnsi="宋体" w:eastAsia="宋体" w:cs="宋体"/>
                <w:sz w:val="16"/>
                <w:szCs w:val="16"/>
              </w:rPr>
              <w:t>补充流动资金</w:t>
            </w:r>
          </w:p>
        </w:tc>
        <w:tc>
          <w:tcPr>
            <w:tcW w:w="702" w:type="pct"/>
            <w:shd w:val="clear" w:color="auto" w:fill="auto"/>
            <w:vAlign w:val="center"/>
          </w:tcPr>
          <w:p w14:paraId="6D12236D">
            <w:pPr>
              <w:keepNext w:val="0"/>
              <w:keepLines w:val="0"/>
              <w:widowControl/>
              <w:suppressLineNumbers w:val="0"/>
              <w:jc w:val="right"/>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6"/>
                <w:szCs w:val="16"/>
                <w:u w:val="none"/>
                <w:lang w:val="en-US" w:eastAsia="zh-CN" w:bidi="ar"/>
              </w:rPr>
              <w:t>20,000.00</w:t>
            </w:r>
          </w:p>
        </w:tc>
        <w:tc>
          <w:tcPr>
            <w:tcW w:w="802" w:type="pct"/>
            <w:shd w:val="clear" w:color="auto" w:fill="auto"/>
            <w:vAlign w:val="center"/>
          </w:tcPr>
          <w:p w14:paraId="6569D7D4">
            <w:pPr>
              <w:keepNext w:val="0"/>
              <w:keepLines w:val="0"/>
              <w:widowControl/>
              <w:suppressLineNumbers w:val="0"/>
              <w:jc w:val="right"/>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6"/>
                <w:szCs w:val="16"/>
                <w:u w:val="none"/>
                <w:lang w:val="en-US" w:eastAsia="zh-CN" w:bidi="ar"/>
              </w:rPr>
              <w:t>20,000.00</w:t>
            </w:r>
          </w:p>
        </w:tc>
        <w:tc>
          <w:tcPr>
            <w:tcW w:w="1303" w:type="dxa"/>
            <w:shd w:val="clear" w:color="auto" w:fill="auto"/>
            <w:vAlign w:val="center"/>
          </w:tcPr>
          <w:p w14:paraId="0E74F2A7">
            <w:pPr>
              <w:keepNext w:val="0"/>
              <w:keepLines w:val="0"/>
              <w:widowControl/>
              <w:suppressLineNumbers w:val="0"/>
              <w:jc w:val="right"/>
              <w:textAlignment w:val="center"/>
              <w:rPr>
                <w:rFonts w:hint="eastAsia" w:ascii="宋体" w:hAnsi="宋体" w:eastAsia="宋体" w:cs="宋体"/>
                <w:sz w:val="16"/>
                <w:szCs w:val="16"/>
                <w:highlight w:val="none"/>
                <w:lang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20,000.00</w:t>
            </w:r>
          </w:p>
        </w:tc>
        <w:tc>
          <w:tcPr>
            <w:tcW w:w="808" w:type="pct"/>
            <w:shd w:val="clear" w:color="auto" w:fill="auto"/>
            <w:vAlign w:val="center"/>
          </w:tcPr>
          <w:p w14:paraId="071FD1B8">
            <w:pPr>
              <w:keepNext w:val="0"/>
              <w:keepLines w:val="0"/>
              <w:widowControl/>
              <w:suppressLineNumbers w:val="0"/>
              <w:jc w:val="right"/>
              <w:textAlignment w:val="center"/>
              <w:rPr>
                <w:rFonts w:hint="eastAsia" w:ascii="宋体" w:hAnsi="宋体" w:eastAsia="宋体" w:cs="宋体"/>
                <w:sz w:val="16"/>
                <w:szCs w:val="16"/>
                <w:lang w:val="en-US" w:eastAsia="zh-CN" w:bidi="ar"/>
              </w:rPr>
            </w:pPr>
            <w:r>
              <w:rPr>
                <w:rFonts w:hint="eastAsia" w:ascii="宋体" w:hAnsi="宋体" w:eastAsia="宋体" w:cs="宋体"/>
                <w:i w:val="0"/>
                <w:iCs w:val="0"/>
                <w:snapToGrid w:val="0"/>
                <w:color w:val="000000"/>
                <w:kern w:val="0"/>
                <w:sz w:val="16"/>
                <w:szCs w:val="16"/>
                <w:u w:val="none"/>
                <w:lang w:val="en-US" w:eastAsia="zh-CN" w:bidi="ar"/>
              </w:rPr>
              <w:t>-</w:t>
            </w:r>
          </w:p>
        </w:tc>
        <w:tc>
          <w:tcPr>
            <w:tcW w:w="868" w:type="pct"/>
            <w:shd w:val="clear" w:color="auto" w:fill="auto"/>
            <w:vAlign w:val="center"/>
          </w:tcPr>
          <w:p w14:paraId="426BA4DD">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已注销募集资金专户</w:t>
            </w:r>
          </w:p>
        </w:tc>
      </w:tr>
      <w:tr w14:paraId="3A1515C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697" w:hRule="atLeast"/>
          <w:jc w:val="center"/>
        </w:trPr>
        <w:tc>
          <w:tcPr>
            <w:tcW w:w="1107" w:type="pct"/>
            <w:shd w:val="clear" w:color="auto" w:fill="auto"/>
            <w:vAlign w:val="center"/>
          </w:tcPr>
          <w:p w14:paraId="366B5A95">
            <w:pPr>
              <w:widowControl/>
              <w:jc w:val="both"/>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合计</w:t>
            </w:r>
          </w:p>
        </w:tc>
        <w:tc>
          <w:tcPr>
            <w:tcW w:w="702" w:type="pct"/>
            <w:shd w:val="clear" w:color="auto" w:fill="auto"/>
            <w:vAlign w:val="center"/>
          </w:tcPr>
          <w:p w14:paraId="3315804B">
            <w:pPr>
              <w:keepNext w:val="0"/>
              <w:keepLines w:val="0"/>
              <w:widowControl/>
              <w:suppressLineNumbers w:val="0"/>
              <w:jc w:val="right"/>
              <w:textAlignment w:val="center"/>
              <w:rPr>
                <w:rFonts w:hint="eastAsia" w:ascii="宋体" w:hAnsi="宋体" w:eastAsia="宋体" w:cs="宋体"/>
                <w:b/>
                <w:bCs/>
                <w:sz w:val="16"/>
                <w:szCs w:val="16"/>
              </w:rPr>
            </w:pPr>
            <w:r>
              <w:rPr>
                <w:rFonts w:hint="eastAsia" w:ascii="宋体" w:hAnsi="宋体" w:eastAsia="宋体" w:cs="宋体"/>
                <w:b/>
                <w:bCs/>
                <w:i w:val="0"/>
                <w:iCs w:val="0"/>
                <w:snapToGrid w:val="0"/>
                <w:color w:val="000000"/>
                <w:kern w:val="0"/>
                <w:sz w:val="16"/>
                <w:szCs w:val="16"/>
                <w:u w:val="none"/>
                <w:lang w:val="en-US" w:eastAsia="zh-CN" w:bidi="ar"/>
              </w:rPr>
              <w:t xml:space="preserve"> 107,237.51 </w:t>
            </w:r>
          </w:p>
        </w:tc>
        <w:tc>
          <w:tcPr>
            <w:tcW w:w="802" w:type="pct"/>
            <w:shd w:val="clear" w:color="auto" w:fill="auto"/>
            <w:vAlign w:val="center"/>
          </w:tcPr>
          <w:p w14:paraId="2B314981">
            <w:pPr>
              <w:keepNext w:val="0"/>
              <w:keepLines w:val="0"/>
              <w:widowControl/>
              <w:suppressLineNumbers w:val="0"/>
              <w:jc w:val="right"/>
              <w:textAlignment w:val="center"/>
              <w:rPr>
                <w:rFonts w:hint="eastAsia" w:ascii="宋体" w:hAnsi="宋体" w:eastAsia="宋体" w:cs="宋体"/>
                <w:b/>
                <w:bCs/>
                <w:sz w:val="16"/>
                <w:szCs w:val="16"/>
              </w:rPr>
            </w:pPr>
            <w:r>
              <w:rPr>
                <w:rFonts w:hint="eastAsia" w:ascii="宋体" w:hAnsi="宋体" w:eastAsia="宋体" w:cs="宋体"/>
                <w:b/>
                <w:bCs/>
                <w:i w:val="0"/>
                <w:iCs w:val="0"/>
                <w:snapToGrid w:val="0"/>
                <w:color w:val="000000"/>
                <w:kern w:val="0"/>
                <w:sz w:val="16"/>
                <w:szCs w:val="16"/>
                <w:u w:val="none"/>
                <w:lang w:val="en-US" w:eastAsia="zh-CN" w:bidi="ar"/>
              </w:rPr>
              <w:t xml:space="preserve"> 85,456.18 </w:t>
            </w:r>
          </w:p>
        </w:tc>
        <w:tc>
          <w:tcPr>
            <w:tcW w:w="1303" w:type="dxa"/>
            <w:shd w:val="clear" w:color="auto" w:fill="auto"/>
            <w:vAlign w:val="center"/>
          </w:tcPr>
          <w:p w14:paraId="50D1FA03">
            <w:pPr>
              <w:keepNext w:val="0"/>
              <w:keepLines w:val="0"/>
              <w:widowControl/>
              <w:suppressLineNumbers w:val="0"/>
              <w:jc w:val="right"/>
              <w:textAlignment w:val="center"/>
              <w:rPr>
                <w:rFonts w:hint="eastAsia" w:ascii="宋体" w:hAnsi="宋体" w:eastAsia="宋体" w:cs="宋体"/>
                <w:b/>
                <w:bCs/>
                <w:sz w:val="16"/>
                <w:szCs w:val="16"/>
                <w:highlight w:val="none"/>
                <w:lang w:eastAsia="zh-CN" w:bidi="ar"/>
              </w:rPr>
            </w:pPr>
            <w:r>
              <w:rPr>
                <w:rFonts w:hint="eastAsia" w:ascii="宋体" w:hAnsi="宋体" w:eastAsia="宋体" w:cs="宋体"/>
                <w:b/>
                <w:bCs/>
                <w:i w:val="0"/>
                <w:iCs w:val="0"/>
                <w:snapToGrid w:val="0"/>
                <w:color w:val="000000"/>
                <w:kern w:val="0"/>
                <w:sz w:val="16"/>
                <w:szCs w:val="16"/>
                <w:highlight w:val="none"/>
                <w:u w:val="none"/>
                <w:lang w:val="en-US" w:eastAsia="zh-CN" w:bidi="ar"/>
              </w:rPr>
              <w:t xml:space="preserve"> 74,522.64 </w:t>
            </w:r>
          </w:p>
        </w:tc>
        <w:tc>
          <w:tcPr>
            <w:tcW w:w="808" w:type="pct"/>
            <w:shd w:val="clear" w:color="auto" w:fill="auto"/>
            <w:vAlign w:val="center"/>
          </w:tcPr>
          <w:p w14:paraId="0026D12A">
            <w:pPr>
              <w:keepNext w:val="0"/>
              <w:keepLines w:val="0"/>
              <w:widowControl/>
              <w:suppressLineNumbers w:val="0"/>
              <w:jc w:val="right"/>
              <w:textAlignment w:val="center"/>
              <w:rPr>
                <w:rFonts w:hint="eastAsia" w:ascii="宋体" w:hAnsi="宋体" w:eastAsia="宋体" w:cs="宋体"/>
                <w:b/>
                <w:bCs/>
                <w:sz w:val="16"/>
                <w:szCs w:val="16"/>
                <w:lang w:val="en-US" w:eastAsia="zh-CN" w:bidi="ar"/>
              </w:rPr>
            </w:pPr>
            <w:r>
              <w:rPr>
                <w:rFonts w:hint="eastAsia" w:ascii="宋体" w:hAnsi="宋体" w:eastAsia="宋体" w:cs="宋体"/>
                <w:b/>
                <w:bCs/>
                <w:i w:val="0"/>
                <w:iCs w:val="0"/>
                <w:snapToGrid w:val="0"/>
                <w:color w:val="000000"/>
                <w:kern w:val="0"/>
                <w:sz w:val="16"/>
                <w:szCs w:val="16"/>
                <w:u w:val="none"/>
                <w:lang w:val="en-US" w:eastAsia="zh-CN" w:bidi="ar"/>
              </w:rPr>
              <w:t xml:space="preserve">- </w:t>
            </w:r>
          </w:p>
        </w:tc>
        <w:tc>
          <w:tcPr>
            <w:tcW w:w="868" w:type="pct"/>
            <w:shd w:val="clear" w:color="auto" w:fill="auto"/>
            <w:vAlign w:val="center"/>
          </w:tcPr>
          <w:p w14:paraId="32638014">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16"/>
                <w:szCs w:val="16"/>
                <w:u w:val="none"/>
                <w:lang w:val="en-US" w:eastAsia="zh-CN" w:bidi="ar"/>
              </w:rPr>
            </w:pPr>
          </w:p>
        </w:tc>
      </w:tr>
    </w:tbl>
    <w:p w14:paraId="5961510D">
      <w:pPr>
        <w:spacing w:line="360" w:lineRule="auto"/>
        <w:ind w:firstLine="420" w:firstLineChars="200"/>
        <w:jc w:val="right"/>
        <w:rPr>
          <w:rFonts w:hint="eastAsia" w:ascii="Times New Roman" w:hAnsi="Times New Roman" w:eastAsia="宋体"/>
        </w:rPr>
      </w:pPr>
    </w:p>
    <w:p w14:paraId="16094FD7">
      <w:pPr>
        <w:pStyle w:val="3"/>
        <w:spacing w:before="189" w:line="220" w:lineRule="auto"/>
        <w:ind w:firstLine="466" w:firstLineChars="200"/>
        <w:outlineLvl w:val="0"/>
        <w:rPr>
          <w:rFonts w:ascii="Times New Roman" w:hAnsi="Times New Roman" w:eastAsia="宋体"/>
          <w:sz w:val="24"/>
          <w:szCs w:val="24"/>
          <w:lang w:eastAsia="zh-CN"/>
        </w:rPr>
      </w:pPr>
      <w:r>
        <w:rPr>
          <w:rFonts w:hint="eastAsia" w:ascii="Times New Roman" w:hAnsi="Times New Roman" w:eastAsia="宋体"/>
          <w:b/>
          <w:bCs/>
          <w:spacing w:val="-4"/>
          <w:sz w:val="24"/>
          <w:szCs w:val="24"/>
          <w:lang w:eastAsia="zh-CN"/>
        </w:rPr>
        <w:t>二、</w:t>
      </w:r>
      <w:r>
        <w:rPr>
          <w:rFonts w:ascii="Times New Roman" w:hAnsi="Times New Roman" w:eastAsia="宋体"/>
          <w:b/>
          <w:bCs/>
          <w:spacing w:val="-4"/>
          <w:sz w:val="24"/>
          <w:szCs w:val="24"/>
          <w:lang w:eastAsia="zh-CN"/>
        </w:rPr>
        <w:t>募投项目历次变更情况</w:t>
      </w:r>
    </w:p>
    <w:p w14:paraId="7E4899B5">
      <w:pPr>
        <w:spacing w:line="260" w:lineRule="auto"/>
        <w:rPr>
          <w:rFonts w:ascii="Times New Roman" w:hAnsi="Times New Roman" w:eastAsia="宋体"/>
          <w:lang w:eastAsia="zh-CN"/>
        </w:rPr>
      </w:pPr>
    </w:p>
    <w:p w14:paraId="423DB435">
      <w:pPr>
        <w:pStyle w:val="3"/>
        <w:spacing w:before="78" w:line="560" w:lineRule="exact"/>
        <w:ind w:left="153" w:right="122" w:firstLine="500"/>
        <w:jc w:val="both"/>
        <w:rPr>
          <w:rFonts w:ascii="Times New Roman" w:hAnsi="Times New Roman" w:eastAsia="宋体"/>
          <w:lang w:eastAsia="zh-CN"/>
        </w:rPr>
      </w:pPr>
      <w:r>
        <w:rPr>
          <w:rFonts w:ascii="Times New Roman" w:hAnsi="Times New Roman" w:eastAsia="宋体" w:cs="Times New Roman"/>
          <w:spacing w:val="-5"/>
          <w:lang w:eastAsia="zh-CN"/>
        </w:rPr>
        <w:t>1</w:t>
      </w:r>
      <w:r>
        <w:rPr>
          <w:rFonts w:ascii="Times New Roman" w:hAnsi="Times New Roman" w:eastAsia="宋体"/>
          <w:spacing w:val="-5"/>
          <w:lang w:eastAsia="zh-CN"/>
        </w:rPr>
        <w:t>、</w:t>
      </w:r>
      <w:r>
        <w:rPr>
          <w:rFonts w:hint="eastAsia" w:ascii="Times New Roman" w:hAnsi="Times New Roman" w:eastAsia="宋体"/>
          <w:spacing w:val="-5"/>
          <w:lang w:eastAsia="zh-CN"/>
        </w:rPr>
        <w:t>2022年6月15日，公司第三届董事会第十二次会议、第三届监事会第十次会议审议通过《关于变更部分募投项目实施地点的议案》，同意公司变更“研发中心及信息化建设项目”的实施地点，该事项无需提交股东大会审议。独立董事发表了同意的独立意见。董事会、监事会相关审议程序符合中国证券监督管理委员会和上海证券交易所的有关规定，具体详见公司在上海证券交易所发布的《关于变更部分募投项目实施地点的公告》（公告编号：2022-019）。</w:t>
      </w:r>
    </w:p>
    <w:p w14:paraId="54372E0B">
      <w:pPr>
        <w:pStyle w:val="3"/>
        <w:spacing w:before="78" w:line="560" w:lineRule="exact"/>
        <w:ind w:left="153" w:right="122" w:firstLine="500"/>
        <w:jc w:val="both"/>
        <w:rPr>
          <w:rFonts w:ascii="Times New Roman" w:hAnsi="Times New Roman" w:eastAsia="宋体"/>
          <w:lang w:eastAsia="zh-CN"/>
        </w:rPr>
      </w:pPr>
      <w:r>
        <w:rPr>
          <w:rFonts w:ascii="Times New Roman" w:hAnsi="Times New Roman" w:eastAsia="宋体" w:cs="Times New Roman"/>
          <w:spacing w:val="-4"/>
          <w:lang w:eastAsia="zh-CN"/>
        </w:rPr>
        <w:t>2</w:t>
      </w:r>
      <w:r>
        <w:rPr>
          <w:rFonts w:ascii="Times New Roman" w:hAnsi="Times New Roman" w:eastAsia="宋体"/>
          <w:spacing w:val="-4"/>
          <w:lang w:eastAsia="zh-CN"/>
        </w:rPr>
        <w:t>、</w:t>
      </w:r>
      <w:r>
        <w:rPr>
          <w:rFonts w:hint="eastAsia" w:ascii="Times New Roman" w:hAnsi="Times New Roman" w:eastAsia="宋体"/>
          <w:spacing w:val="-4"/>
          <w:lang w:eastAsia="zh-CN"/>
        </w:rPr>
        <w:t>2023年3月27日，公司第三届董事会第十五次会议、第三届监事会第十三次会议审议通过《关于部分募集资金投资项目延期的议案》，同意在募投项目实施主体、实施方式、募集资金投资用途及投资规模不发生变更的前提下，将首次公开发行股票募投项目中“智能成套电气设备产业基地项目”“110kV及以下节能型变压器智能化工厂技改项目”“低铁损高磁感硅钢铁心智能制造项目”“研发中心及信息化建设项目”的预定可使用状态日期进行延期，其中将“智能成套电气设备产业基地项目”“110kV及以下节能型变压器智能化工厂技改项目”“研发中心及信息化建设项目”的预定可使用状态日期延长至2024年4月份，“低铁损高磁感硅钢铁心智能制造项目”的预定可使用状态日期延长至2023年6月份。该事项无需提交股东大会审议，</w:t>
      </w:r>
      <w:r>
        <w:rPr>
          <w:rFonts w:hint="eastAsia" w:ascii="Times New Roman" w:hAnsi="Times New Roman" w:eastAsia="宋体"/>
          <w:spacing w:val="-5"/>
          <w:lang w:eastAsia="zh-CN"/>
        </w:rPr>
        <w:t>独立董事发表了同意的独立意见。董事会、监事会相关审议程序符合中国证券监督管理委员会和上海证券交易所的有关规定，具体详见公司在上海证券交易所发布的《关于部分募投项目延期的公告》（公告编号：2023-012）。</w:t>
      </w:r>
    </w:p>
    <w:p w14:paraId="63EE3F33">
      <w:pPr>
        <w:pStyle w:val="3"/>
        <w:spacing w:before="174" w:line="560" w:lineRule="exact"/>
        <w:ind w:left="151" w:right="122" w:firstLine="484"/>
        <w:jc w:val="both"/>
        <w:rPr>
          <w:rFonts w:ascii="Times New Roman" w:hAnsi="Times New Roman" w:eastAsia="宋体" w:cs="Times New Roman Regular"/>
          <w:bCs/>
          <w:spacing w:val="0"/>
          <w:lang w:eastAsia="zh-CN"/>
        </w:rPr>
      </w:pPr>
      <w:r>
        <w:rPr>
          <w:rFonts w:ascii="Times New Roman" w:hAnsi="Times New Roman" w:eastAsia="宋体" w:cs="Times New Roman"/>
          <w:spacing w:val="-7"/>
          <w:lang w:eastAsia="zh-CN"/>
        </w:rPr>
        <w:t>3</w:t>
      </w:r>
      <w:r>
        <w:rPr>
          <w:rFonts w:ascii="Times New Roman" w:hAnsi="Times New Roman" w:eastAsia="宋体"/>
          <w:spacing w:val="-7"/>
          <w:lang w:eastAsia="zh-CN"/>
        </w:rPr>
        <w:t>、</w:t>
      </w:r>
      <w:r>
        <w:rPr>
          <w:rFonts w:hint="eastAsia" w:ascii="Times New Roman" w:hAnsi="Times New Roman" w:eastAsia="宋体"/>
          <w:spacing w:val="-7"/>
          <w:lang w:eastAsia="zh-CN"/>
        </w:rPr>
        <w:t>2023年10月25日，公司第三届董事会第十八次会议、第三届监事会第十六次会议审议通过《关于使用自有资金增加部分募投项目投资额的议案》和</w:t>
      </w:r>
      <w:r>
        <w:rPr>
          <w:rFonts w:ascii="Times New Roman" w:hAnsi="Times New Roman" w:eastAsia="宋体" w:cs="Times New Roman Regular"/>
          <w:bCs/>
          <w:lang w:eastAsia="zh-CN"/>
        </w:rPr>
        <w:t>《关于变更部分募集资金用途并实施新募投项目的议案》</w:t>
      </w:r>
      <w:r>
        <w:rPr>
          <w:rFonts w:hint="eastAsia" w:ascii="Times New Roman" w:hAnsi="Times New Roman" w:eastAsia="宋体" w:cs="Times New Roman Regular"/>
          <w:bCs/>
          <w:lang w:eastAsia="zh-CN"/>
        </w:rPr>
        <w:t>。</w:t>
      </w:r>
      <w:r>
        <w:rPr>
          <w:rFonts w:hint="eastAsia" w:ascii="Times New Roman" w:hAnsi="Times New Roman" w:eastAsia="宋体"/>
          <w:spacing w:val="-7"/>
          <w:lang w:eastAsia="zh-CN"/>
        </w:rPr>
        <w:t>同意调减“智能成套电气设备产业基地建设项目”投资额，并将调减部分投入新项目“智控设备及金属制品智能工厂建设项目（一期）”使用；同意增加“110kV及以下节能型变压器智能化工厂技改项目”“低铁损高磁感硅钢铁心智能制造项目”的投资额。</w:t>
      </w:r>
      <w:r>
        <w:rPr>
          <w:rFonts w:hint="eastAsia" w:ascii="Times New Roman" w:hAnsi="Times New Roman" w:eastAsia="宋体"/>
          <w:spacing w:val="-1"/>
          <w:lang w:eastAsia="zh-CN"/>
        </w:rPr>
        <w:t>本次调整后“智能成套电气设备产业基地建设项目”投资总额为24,268.47万元；</w:t>
      </w:r>
      <w:r>
        <w:rPr>
          <w:rFonts w:hint="eastAsia" w:ascii="Times New Roman" w:hAnsi="Times New Roman" w:eastAsia="宋体"/>
          <w:spacing w:val="-7"/>
          <w:lang w:eastAsia="zh-CN"/>
        </w:rPr>
        <w:t>“110kV及以下节能型变压器智能化工厂技改项目”投资总额为11,818.17万元；“低铁损高磁感硅钢铁心智能制造项目”投资总额为20,100.00万元；“智控设备及金属制品智能工厂建设项目（一期）”项目投资总额为24,800.87万元。</w:t>
      </w:r>
      <w:r>
        <w:rPr>
          <w:rFonts w:hint="eastAsia" w:ascii="Times New Roman" w:hAnsi="Times New Roman" w:eastAsia="宋体"/>
          <w:spacing w:val="-5"/>
          <w:lang w:eastAsia="zh-CN"/>
        </w:rPr>
        <w:t>独立董事发表了同意的独立意见，董事会、监事会相关审议程序符合中国证券监督管理委员会和上海证券交易所的有关规定。</w:t>
      </w:r>
    </w:p>
    <w:p w14:paraId="45FB7440">
      <w:pPr>
        <w:pStyle w:val="3"/>
        <w:spacing w:before="174" w:line="560" w:lineRule="exact"/>
        <w:ind w:left="151" w:right="122" w:firstLine="484"/>
        <w:jc w:val="both"/>
        <w:rPr>
          <w:rFonts w:ascii="Times New Roman" w:hAnsi="Times New Roman" w:eastAsia="宋体"/>
          <w:lang w:eastAsia="zh-CN"/>
        </w:rPr>
      </w:pPr>
      <w:r>
        <w:rPr>
          <w:rFonts w:ascii="Times New Roman" w:hAnsi="Times New Roman" w:eastAsia="宋体" w:cs="Times New Roman Regular"/>
          <w:bCs/>
          <w:lang w:eastAsia="zh-CN"/>
        </w:rPr>
        <w:t>《关于变更部分募集资金用途并实施新募投项目的议案》</w:t>
      </w:r>
      <w:r>
        <w:rPr>
          <w:rFonts w:hint="eastAsia" w:ascii="Times New Roman" w:hAnsi="Times New Roman" w:eastAsia="宋体" w:cs="Times New Roman Regular"/>
          <w:bCs/>
          <w:lang w:eastAsia="zh-CN"/>
        </w:rPr>
        <w:t>已经公司2023年第二次临时</w:t>
      </w:r>
      <w:r>
        <w:rPr>
          <w:rFonts w:hint="eastAsia" w:ascii="Times New Roman" w:hAnsi="Times New Roman" w:eastAsia="宋体"/>
          <w:spacing w:val="-4"/>
          <w:lang w:eastAsia="zh-CN"/>
        </w:rPr>
        <w:t>股东大会审议。</w:t>
      </w:r>
      <w:r>
        <w:rPr>
          <w:rFonts w:hint="eastAsia" w:ascii="Times New Roman" w:hAnsi="Times New Roman" w:eastAsia="宋体"/>
          <w:spacing w:val="-5"/>
          <w:lang w:eastAsia="zh-CN"/>
        </w:rPr>
        <w:t>具体详见公司在上海证券交易所发布的《关于使用自有资金增加部分募投项目投资额的公告》（公告编号：2023-044）和《关于变更部分募集资金用途并实施新募投项目的公告》（公告编号：202</w:t>
      </w:r>
      <w:r>
        <w:rPr>
          <w:rFonts w:hint="eastAsia" w:ascii="Times New Roman" w:hAnsi="Times New Roman"/>
          <w:spacing w:val="-5"/>
          <w:lang w:val="en-US" w:eastAsia="zh-CN"/>
        </w:rPr>
        <w:t>3</w:t>
      </w:r>
      <w:r>
        <w:rPr>
          <w:rFonts w:hint="eastAsia" w:ascii="Times New Roman" w:hAnsi="Times New Roman" w:eastAsia="宋体"/>
          <w:spacing w:val="-5"/>
          <w:lang w:eastAsia="zh-CN"/>
        </w:rPr>
        <w:t>-045）。</w:t>
      </w:r>
    </w:p>
    <w:p w14:paraId="5AA7843B">
      <w:pPr>
        <w:pStyle w:val="3"/>
        <w:spacing w:before="188" w:line="560" w:lineRule="exact"/>
        <w:ind w:left="644"/>
        <w:jc w:val="both"/>
        <w:outlineLvl w:val="0"/>
        <w:rPr>
          <w:rFonts w:ascii="Times New Roman" w:hAnsi="Times New Roman" w:eastAsia="宋体"/>
          <w:lang w:eastAsia="zh-CN"/>
        </w:rPr>
      </w:pPr>
      <w:r>
        <w:rPr>
          <w:rFonts w:hint="eastAsia" w:ascii="Times New Roman" w:hAnsi="Times New Roman" w:eastAsia="宋体"/>
          <w:b/>
          <w:bCs/>
          <w:spacing w:val="-3"/>
          <w:lang w:eastAsia="zh-CN"/>
        </w:rPr>
        <w:t>三、本次结项的募集资金投资项目募集资金使用情况</w:t>
      </w:r>
    </w:p>
    <w:p w14:paraId="6788A220">
      <w:pPr>
        <w:pStyle w:val="3"/>
        <w:spacing w:before="48" w:line="560" w:lineRule="exact"/>
        <w:ind w:left="121" w:right="76" w:firstLine="477"/>
        <w:jc w:val="both"/>
        <w:rPr>
          <w:rFonts w:ascii="Times New Roman" w:hAnsi="Times New Roman" w:eastAsia="宋体"/>
          <w:highlight w:val="none"/>
          <w:lang w:eastAsia="zh-CN"/>
        </w:rPr>
      </w:pPr>
      <w:r>
        <w:rPr>
          <w:rFonts w:hint="eastAsia" w:ascii="Times New Roman" w:hAnsi="Times New Roman" w:eastAsia="宋体"/>
          <w:spacing w:val="-3"/>
          <w:lang w:eastAsia="zh-CN"/>
        </w:rPr>
        <w:t>本次结项的募集资金投资项目为</w:t>
      </w:r>
      <w:r>
        <w:rPr>
          <w:rFonts w:hint="eastAsia" w:ascii="Times New Roman" w:hAnsi="Times New Roman" w:eastAsia="宋体"/>
          <w:spacing w:val="-1"/>
          <w:lang w:eastAsia="zh-CN"/>
        </w:rPr>
        <w:t>“智能成套电气设备产业基地建设项目”“</w:t>
      </w:r>
      <w:r>
        <w:rPr>
          <w:rFonts w:hint="eastAsia" w:ascii="Times New Roman" w:hAnsi="Times New Roman" w:eastAsia="宋体"/>
          <w:spacing w:val="-7"/>
          <w:lang w:eastAsia="zh-CN"/>
        </w:rPr>
        <w:t>110kV及以下节能型变压器智能化工厂技改项目”和“研发中心及信息化建设项目”。</w:t>
      </w:r>
      <w:r>
        <w:rPr>
          <w:rFonts w:ascii="Times New Roman" w:hAnsi="Times New Roman" w:eastAsia="宋体"/>
          <w:spacing w:val="-3"/>
          <w:lang w:eastAsia="zh-CN"/>
        </w:rPr>
        <w:t>截</w:t>
      </w:r>
      <w:r>
        <w:rPr>
          <w:rFonts w:ascii="Times New Roman" w:hAnsi="Times New Roman" w:eastAsia="宋体"/>
          <w:spacing w:val="-3"/>
          <w:highlight w:val="none"/>
          <w:lang w:eastAsia="zh-CN"/>
        </w:rPr>
        <w:t>止</w:t>
      </w:r>
      <w:r>
        <w:rPr>
          <w:rFonts w:hint="eastAsia" w:ascii="Times New Roman" w:hAnsi="Times New Roman" w:cs="Times New Roman"/>
          <w:spacing w:val="-3"/>
          <w:highlight w:val="none"/>
          <w:lang w:eastAsia="zh-CN"/>
        </w:rPr>
        <w:t>2024年</w:t>
      </w:r>
      <w:r>
        <w:rPr>
          <w:rFonts w:hint="eastAsia" w:ascii="Times New Roman" w:hAnsi="Times New Roman" w:cs="Times New Roman"/>
          <w:spacing w:val="-3"/>
          <w:highlight w:val="none"/>
          <w:lang w:val="en-US" w:eastAsia="zh-CN"/>
        </w:rPr>
        <w:t>10</w:t>
      </w:r>
      <w:r>
        <w:rPr>
          <w:rFonts w:hint="eastAsia" w:ascii="Times New Roman" w:hAnsi="Times New Roman" w:cs="Times New Roman"/>
          <w:spacing w:val="-3"/>
          <w:highlight w:val="none"/>
          <w:lang w:eastAsia="zh-CN"/>
        </w:rPr>
        <w:t>月</w:t>
      </w:r>
      <w:r>
        <w:rPr>
          <w:rFonts w:hint="eastAsia" w:ascii="Times New Roman" w:hAnsi="Times New Roman" w:cs="Times New Roman"/>
          <w:spacing w:val="-3"/>
          <w:highlight w:val="none"/>
          <w:lang w:val="en-US" w:eastAsia="zh-CN"/>
        </w:rPr>
        <w:t>31</w:t>
      </w:r>
      <w:r>
        <w:rPr>
          <w:rFonts w:hint="eastAsia" w:ascii="Times New Roman" w:hAnsi="Times New Roman" w:cs="Times New Roman"/>
          <w:spacing w:val="-3"/>
          <w:highlight w:val="none"/>
          <w:lang w:eastAsia="zh-CN"/>
        </w:rPr>
        <w:t>日</w:t>
      </w:r>
      <w:r>
        <w:rPr>
          <w:rFonts w:ascii="Times New Roman" w:hAnsi="Times New Roman" w:eastAsia="宋体"/>
          <w:spacing w:val="-3"/>
          <w:highlight w:val="none"/>
          <w:lang w:eastAsia="zh-CN"/>
        </w:rPr>
        <w:t>，</w:t>
      </w:r>
      <w:r>
        <w:rPr>
          <w:rFonts w:hint="eastAsia" w:ascii="Times New Roman" w:hAnsi="Times New Roman" w:eastAsia="宋体"/>
          <w:spacing w:val="-3"/>
          <w:highlight w:val="none"/>
          <w:lang w:eastAsia="zh-CN"/>
        </w:rPr>
        <w:t>本次结项的募集资金投资项目募集资金使用</w:t>
      </w:r>
      <w:r>
        <w:rPr>
          <w:rFonts w:ascii="Times New Roman" w:hAnsi="Times New Roman" w:eastAsia="宋体"/>
          <w:spacing w:val="-3"/>
          <w:highlight w:val="none"/>
          <w:lang w:eastAsia="zh-CN"/>
        </w:rPr>
        <w:t>情</w:t>
      </w:r>
      <w:r>
        <w:rPr>
          <w:rFonts w:ascii="Times New Roman" w:hAnsi="Times New Roman" w:eastAsia="宋体"/>
          <w:spacing w:val="-13"/>
          <w:highlight w:val="none"/>
          <w:lang w:eastAsia="zh-CN"/>
        </w:rPr>
        <w:t>况如下：</w:t>
      </w:r>
    </w:p>
    <w:p w14:paraId="7FC08588">
      <w:pPr>
        <w:pStyle w:val="3"/>
        <w:spacing w:before="30" w:line="220" w:lineRule="auto"/>
        <w:ind w:left="6948"/>
        <w:rPr>
          <w:rFonts w:ascii="Times New Roman" w:hAnsi="Times New Roman" w:eastAsia="宋体"/>
          <w:spacing w:val="-2"/>
          <w:highlight w:val="none"/>
        </w:rPr>
      </w:pPr>
      <w:r>
        <w:rPr>
          <w:rFonts w:ascii="Times New Roman" w:hAnsi="Times New Roman" w:eastAsia="宋体"/>
          <w:spacing w:val="-2"/>
          <w:highlight w:val="none"/>
        </w:rPr>
        <w:t>单位：万元</w:t>
      </w:r>
    </w:p>
    <w:tbl>
      <w:tblPr>
        <w:tblStyle w:val="8"/>
        <w:tblpPr w:leftFromText="180" w:rightFromText="180" w:vertAnchor="text" w:horzAnchor="page" w:tblpX="1976" w:tblpY="239"/>
        <w:tblOverlap w:val="never"/>
        <w:tblW w:w="4789"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2657"/>
        <w:gridCol w:w="1200"/>
        <w:gridCol w:w="1387"/>
        <w:gridCol w:w="1440"/>
        <w:gridCol w:w="1472"/>
      </w:tblGrid>
      <w:tr w14:paraId="1AED246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889" w:hRule="atLeast"/>
          <w:tblHeader/>
        </w:trPr>
        <w:tc>
          <w:tcPr>
            <w:tcW w:w="1628" w:type="pct"/>
            <w:shd w:val="clear" w:color="auto" w:fill="auto"/>
            <w:vAlign w:val="center"/>
          </w:tcPr>
          <w:p w14:paraId="5AC0C01D">
            <w:pPr>
              <w:widowControl/>
              <w:spacing w:line="240" w:lineRule="exact"/>
              <w:jc w:val="center"/>
              <w:rPr>
                <w:rFonts w:ascii="Times New Roman" w:hAnsi="Times New Roman" w:eastAsia="宋体"/>
                <w:b/>
                <w:bCs/>
                <w:color w:val="auto"/>
                <w:sz w:val="16"/>
                <w:szCs w:val="16"/>
                <w:highlight w:val="none"/>
              </w:rPr>
            </w:pPr>
            <w:r>
              <w:rPr>
                <w:rFonts w:hint="eastAsia" w:ascii="Times New Roman" w:hAnsi="Times New Roman" w:eastAsia="宋体"/>
                <w:b/>
                <w:bCs/>
                <w:color w:val="auto"/>
                <w:sz w:val="16"/>
                <w:szCs w:val="16"/>
                <w:highlight w:val="none"/>
              </w:rPr>
              <w:t>项目名称</w:t>
            </w:r>
          </w:p>
        </w:tc>
        <w:tc>
          <w:tcPr>
            <w:tcW w:w="735" w:type="pct"/>
            <w:shd w:val="clear" w:color="auto" w:fill="auto"/>
            <w:vAlign w:val="center"/>
          </w:tcPr>
          <w:p w14:paraId="5110D647">
            <w:pPr>
              <w:widowControl/>
              <w:spacing w:line="240" w:lineRule="exact"/>
              <w:jc w:val="center"/>
              <w:rPr>
                <w:rFonts w:ascii="Times New Roman" w:hAnsi="Times New Roman" w:eastAsia="宋体"/>
                <w:b/>
                <w:bCs/>
                <w:color w:val="auto"/>
                <w:sz w:val="16"/>
                <w:szCs w:val="16"/>
                <w:highlight w:val="none"/>
                <w:lang w:eastAsia="zh-CN"/>
              </w:rPr>
            </w:pPr>
            <w:r>
              <w:rPr>
                <w:rFonts w:hint="eastAsia" w:ascii="Times New Roman" w:hAnsi="Times New Roman" w:eastAsia="宋体"/>
                <w:b/>
                <w:bCs/>
                <w:color w:val="auto"/>
                <w:sz w:val="16"/>
                <w:szCs w:val="16"/>
                <w:highlight w:val="none"/>
                <w:lang w:eastAsia="zh-CN"/>
              </w:rPr>
              <w:t>项目总投资</w:t>
            </w:r>
          </w:p>
        </w:tc>
        <w:tc>
          <w:tcPr>
            <w:tcW w:w="850" w:type="pct"/>
            <w:shd w:val="clear" w:color="auto" w:fill="auto"/>
            <w:vAlign w:val="center"/>
          </w:tcPr>
          <w:p w14:paraId="077ECAD6">
            <w:pPr>
              <w:widowControl/>
              <w:spacing w:line="240" w:lineRule="exact"/>
              <w:jc w:val="center"/>
              <w:rPr>
                <w:rFonts w:ascii="Times New Roman" w:hAnsi="Times New Roman" w:eastAsia="宋体"/>
                <w:b/>
                <w:bCs/>
                <w:color w:val="auto"/>
                <w:sz w:val="16"/>
                <w:szCs w:val="16"/>
                <w:highlight w:val="none"/>
                <w:lang w:eastAsia="zh-CN"/>
              </w:rPr>
            </w:pPr>
            <w:r>
              <w:rPr>
                <w:rFonts w:hint="eastAsia" w:ascii="Times New Roman" w:hAnsi="Times New Roman" w:eastAsia="宋体"/>
                <w:b/>
                <w:bCs/>
                <w:color w:val="auto"/>
                <w:sz w:val="16"/>
                <w:szCs w:val="16"/>
                <w:highlight w:val="none"/>
                <w:lang w:eastAsia="zh-CN"/>
              </w:rPr>
              <w:t>募集资金拟投资额</w:t>
            </w:r>
          </w:p>
        </w:tc>
        <w:tc>
          <w:tcPr>
            <w:tcW w:w="882" w:type="pct"/>
            <w:shd w:val="clear" w:color="auto" w:fill="auto"/>
            <w:vAlign w:val="center"/>
          </w:tcPr>
          <w:p w14:paraId="7FF5CB6A">
            <w:pPr>
              <w:widowControl/>
              <w:spacing w:line="240" w:lineRule="exact"/>
              <w:jc w:val="center"/>
              <w:rPr>
                <w:rFonts w:hint="eastAsia" w:ascii="Times New Roman" w:hAnsi="Times New Roman" w:eastAsia="宋体"/>
                <w:b/>
                <w:bCs/>
                <w:color w:val="auto"/>
                <w:sz w:val="16"/>
                <w:szCs w:val="16"/>
                <w:highlight w:val="none"/>
                <w:lang w:eastAsia="zh-CN"/>
              </w:rPr>
            </w:pPr>
            <w:r>
              <w:rPr>
                <w:rFonts w:hint="eastAsia" w:ascii="Times New Roman" w:hAnsi="Times New Roman" w:eastAsia="宋体"/>
                <w:b/>
                <w:bCs/>
                <w:color w:val="auto"/>
                <w:sz w:val="16"/>
                <w:szCs w:val="16"/>
                <w:highlight w:val="none"/>
                <w:lang w:eastAsia="zh-CN"/>
              </w:rPr>
              <w:t>已累计投入募集资金金额</w:t>
            </w:r>
          </w:p>
        </w:tc>
        <w:tc>
          <w:tcPr>
            <w:tcW w:w="902" w:type="pct"/>
            <w:shd w:val="clear" w:color="auto" w:fill="auto"/>
            <w:vAlign w:val="center"/>
          </w:tcPr>
          <w:p w14:paraId="1DB5F7BB">
            <w:pPr>
              <w:widowControl/>
              <w:spacing w:line="240" w:lineRule="exact"/>
              <w:jc w:val="center"/>
              <w:rPr>
                <w:rFonts w:hint="eastAsia" w:ascii="Times New Roman" w:hAnsi="Times New Roman" w:eastAsia="宋体" w:cs="Arial"/>
                <w:b/>
                <w:bCs/>
                <w:snapToGrid w:val="0"/>
                <w:color w:val="auto"/>
                <w:sz w:val="16"/>
                <w:szCs w:val="16"/>
                <w:highlight w:val="none"/>
                <w:lang w:val="en-US" w:eastAsia="zh-CN" w:bidi="ar-SA"/>
              </w:rPr>
            </w:pPr>
            <w:r>
              <w:rPr>
                <w:rFonts w:hint="eastAsia" w:ascii="Times New Roman" w:hAnsi="Times New Roman" w:eastAsia="宋体"/>
                <w:b/>
                <w:bCs/>
                <w:color w:val="auto"/>
                <w:sz w:val="16"/>
                <w:szCs w:val="16"/>
                <w:highlight w:val="none"/>
                <w:lang w:eastAsia="zh-CN"/>
              </w:rPr>
              <w:t>募集资金预计</w:t>
            </w:r>
            <w:r>
              <w:rPr>
                <w:rFonts w:hint="eastAsia" w:ascii="Times New Roman" w:hAnsi="Times New Roman" w:eastAsia="宋体"/>
                <w:b/>
                <w:bCs/>
                <w:color w:val="auto"/>
                <w:sz w:val="16"/>
                <w:szCs w:val="16"/>
                <w:highlight w:val="none"/>
                <w:lang w:val="en-US" w:eastAsia="zh-CN"/>
              </w:rPr>
              <w:t>节</w:t>
            </w:r>
            <w:r>
              <w:rPr>
                <w:rFonts w:hint="eastAsia" w:ascii="Times New Roman" w:hAnsi="Times New Roman" w:eastAsia="宋体"/>
                <w:b/>
                <w:bCs/>
                <w:color w:val="auto"/>
                <w:sz w:val="16"/>
                <w:szCs w:val="16"/>
                <w:highlight w:val="none"/>
                <w:lang w:eastAsia="zh-CN"/>
              </w:rPr>
              <w:t>余金额</w:t>
            </w:r>
          </w:p>
        </w:tc>
      </w:tr>
      <w:tr w14:paraId="1572012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635" w:hRule="atLeast"/>
        </w:trPr>
        <w:tc>
          <w:tcPr>
            <w:tcW w:w="1628" w:type="pct"/>
            <w:shd w:val="clear" w:color="auto" w:fill="auto"/>
            <w:vAlign w:val="center"/>
          </w:tcPr>
          <w:p w14:paraId="397C2FCE">
            <w:pPr>
              <w:widowControl/>
              <w:spacing w:line="240" w:lineRule="exact"/>
              <w:jc w:val="both"/>
              <w:rPr>
                <w:rFonts w:hint="eastAsia" w:ascii="宋体" w:hAnsi="宋体" w:eastAsia="宋体" w:cs="宋体"/>
                <w:color w:val="auto"/>
                <w:sz w:val="16"/>
                <w:szCs w:val="16"/>
                <w:highlight w:val="none"/>
                <w:lang w:eastAsia="zh-CN"/>
              </w:rPr>
            </w:pPr>
            <w:r>
              <w:rPr>
                <w:rFonts w:hint="eastAsia" w:ascii="宋体" w:hAnsi="宋体" w:eastAsia="宋体" w:cs="宋体"/>
                <w:color w:val="auto"/>
                <w:sz w:val="16"/>
                <w:szCs w:val="16"/>
                <w:highlight w:val="none"/>
                <w:lang w:eastAsia="zh-CN"/>
              </w:rPr>
              <w:t>智能成套电气设备产业基地建设项目</w:t>
            </w:r>
          </w:p>
        </w:tc>
        <w:tc>
          <w:tcPr>
            <w:tcW w:w="735" w:type="pct"/>
            <w:shd w:val="clear" w:color="auto" w:fill="auto"/>
            <w:vAlign w:val="center"/>
          </w:tcPr>
          <w:p w14:paraId="09DAF8B4">
            <w:pPr>
              <w:keepNext w:val="0"/>
              <w:keepLines w:val="0"/>
              <w:widowControl/>
              <w:suppressLineNumbers w:val="0"/>
              <w:jc w:val="right"/>
              <w:textAlignment w:val="center"/>
              <w:rPr>
                <w:rFonts w:hint="eastAsia" w:ascii="宋体" w:hAnsi="宋体" w:eastAsia="宋体" w:cs="宋体"/>
                <w:color w:val="auto"/>
                <w:sz w:val="16"/>
                <w:szCs w:val="16"/>
                <w:highlight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24,268.47</w:t>
            </w:r>
          </w:p>
        </w:tc>
        <w:tc>
          <w:tcPr>
            <w:tcW w:w="850" w:type="pct"/>
            <w:shd w:val="clear" w:color="auto" w:fill="auto"/>
            <w:vAlign w:val="center"/>
          </w:tcPr>
          <w:p w14:paraId="682BC5A5">
            <w:pPr>
              <w:keepNext w:val="0"/>
              <w:keepLines w:val="0"/>
              <w:widowControl/>
              <w:suppressLineNumbers w:val="0"/>
              <w:jc w:val="right"/>
              <w:textAlignment w:val="center"/>
              <w:rPr>
                <w:rFonts w:hint="eastAsia" w:ascii="宋体" w:hAnsi="宋体" w:eastAsia="宋体" w:cs="宋体"/>
                <w:color w:val="auto"/>
                <w:sz w:val="16"/>
                <w:szCs w:val="16"/>
                <w:highlight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24,268.47</w:t>
            </w:r>
          </w:p>
        </w:tc>
        <w:tc>
          <w:tcPr>
            <w:tcW w:w="882" w:type="pct"/>
            <w:shd w:val="clear" w:color="auto" w:fill="auto"/>
            <w:vAlign w:val="center"/>
          </w:tcPr>
          <w:p w14:paraId="27E27D11">
            <w:pPr>
              <w:keepNext w:val="0"/>
              <w:keepLines w:val="0"/>
              <w:widowControl/>
              <w:suppressLineNumbers w:val="0"/>
              <w:jc w:val="right"/>
              <w:textAlignment w:val="center"/>
              <w:rPr>
                <w:rFonts w:hint="eastAsia" w:ascii="宋体" w:hAnsi="宋体" w:eastAsia="宋体" w:cs="宋体"/>
                <w:color w:val="auto"/>
                <w:sz w:val="16"/>
                <w:szCs w:val="16"/>
                <w:highlight w:val="none"/>
                <w:u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21,020.72</w:t>
            </w:r>
          </w:p>
        </w:tc>
        <w:tc>
          <w:tcPr>
            <w:tcW w:w="902" w:type="pct"/>
            <w:shd w:val="clear" w:color="auto" w:fill="auto"/>
            <w:vAlign w:val="center"/>
          </w:tcPr>
          <w:p w14:paraId="02249FC9">
            <w:pPr>
              <w:keepNext w:val="0"/>
              <w:keepLines w:val="0"/>
              <w:widowControl/>
              <w:suppressLineNumbers w:val="0"/>
              <w:jc w:val="right"/>
              <w:textAlignment w:val="center"/>
              <w:rPr>
                <w:rFonts w:hint="eastAsia" w:ascii="宋体" w:hAnsi="宋体" w:eastAsia="宋体" w:cs="宋体"/>
                <w:snapToGrid w:val="0"/>
                <w:color w:val="auto"/>
                <w:sz w:val="16"/>
                <w:szCs w:val="16"/>
                <w:highlight w:val="none"/>
                <w:lang w:val="en-US"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4,277.78 </w:t>
            </w:r>
          </w:p>
        </w:tc>
      </w:tr>
      <w:tr w14:paraId="7560AD2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837" w:hRule="atLeast"/>
        </w:trPr>
        <w:tc>
          <w:tcPr>
            <w:tcW w:w="1628" w:type="pct"/>
            <w:shd w:val="clear" w:color="auto" w:fill="auto"/>
            <w:vAlign w:val="center"/>
          </w:tcPr>
          <w:p w14:paraId="38B21191">
            <w:pPr>
              <w:widowControl/>
              <w:spacing w:line="240" w:lineRule="exact"/>
              <w:jc w:val="both"/>
              <w:rPr>
                <w:rFonts w:hint="eastAsia" w:ascii="宋体" w:hAnsi="宋体" w:eastAsia="宋体" w:cs="宋体"/>
                <w:color w:val="auto"/>
                <w:sz w:val="16"/>
                <w:szCs w:val="16"/>
                <w:highlight w:val="none"/>
                <w:lang w:eastAsia="zh-CN"/>
              </w:rPr>
            </w:pPr>
            <w:r>
              <w:rPr>
                <w:rFonts w:hint="eastAsia" w:ascii="宋体" w:hAnsi="宋体" w:eastAsia="宋体" w:cs="宋体"/>
                <w:color w:val="auto"/>
                <w:sz w:val="16"/>
                <w:szCs w:val="16"/>
                <w:highlight w:val="none"/>
                <w:lang w:eastAsia="zh-CN"/>
              </w:rPr>
              <w:t>110kV及以下节能型变压器智能化工厂技改项目</w:t>
            </w:r>
          </w:p>
        </w:tc>
        <w:tc>
          <w:tcPr>
            <w:tcW w:w="735" w:type="pct"/>
            <w:shd w:val="clear" w:color="auto" w:fill="auto"/>
            <w:vAlign w:val="center"/>
          </w:tcPr>
          <w:p w14:paraId="0BEC938A">
            <w:pPr>
              <w:keepNext w:val="0"/>
              <w:keepLines w:val="0"/>
              <w:widowControl/>
              <w:suppressLineNumbers w:val="0"/>
              <w:jc w:val="right"/>
              <w:textAlignment w:val="center"/>
              <w:rPr>
                <w:rFonts w:hint="eastAsia" w:ascii="宋体" w:hAnsi="宋体" w:eastAsia="宋体" w:cs="宋体"/>
                <w:color w:val="auto"/>
                <w:sz w:val="16"/>
                <w:szCs w:val="16"/>
                <w:highlight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11,818.17</w:t>
            </w:r>
          </w:p>
        </w:tc>
        <w:tc>
          <w:tcPr>
            <w:tcW w:w="850" w:type="pct"/>
            <w:shd w:val="clear" w:color="auto" w:fill="auto"/>
            <w:vAlign w:val="center"/>
          </w:tcPr>
          <w:p w14:paraId="1554F36F">
            <w:pPr>
              <w:keepNext w:val="0"/>
              <w:keepLines w:val="0"/>
              <w:widowControl/>
              <w:suppressLineNumbers w:val="0"/>
              <w:jc w:val="right"/>
              <w:textAlignment w:val="center"/>
              <w:rPr>
                <w:rFonts w:hint="eastAsia" w:ascii="宋体" w:hAnsi="宋体" w:eastAsia="宋体" w:cs="宋体"/>
                <w:color w:val="auto"/>
                <w:sz w:val="16"/>
                <w:szCs w:val="16"/>
                <w:highlight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7,330.59</w:t>
            </w:r>
          </w:p>
        </w:tc>
        <w:tc>
          <w:tcPr>
            <w:tcW w:w="882" w:type="pct"/>
            <w:shd w:val="clear" w:color="auto" w:fill="auto"/>
            <w:vAlign w:val="center"/>
          </w:tcPr>
          <w:p w14:paraId="1FAFC52D">
            <w:pPr>
              <w:keepNext w:val="0"/>
              <w:keepLines w:val="0"/>
              <w:widowControl/>
              <w:suppressLineNumbers w:val="0"/>
              <w:jc w:val="right"/>
              <w:textAlignment w:val="center"/>
              <w:rPr>
                <w:rFonts w:hint="eastAsia" w:ascii="宋体" w:hAnsi="宋体" w:eastAsia="宋体" w:cs="宋体"/>
                <w:color w:val="auto"/>
                <w:sz w:val="16"/>
                <w:szCs w:val="16"/>
                <w:highlight w:val="none"/>
                <w:u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 xml:space="preserve"> 5,144.39</w:t>
            </w:r>
          </w:p>
        </w:tc>
        <w:tc>
          <w:tcPr>
            <w:tcW w:w="902" w:type="pct"/>
            <w:shd w:val="clear" w:color="auto" w:fill="auto"/>
            <w:vAlign w:val="center"/>
          </w:tcPr>
          <w:p w14:paraId="073F3684">
            <w:pPr>
              <w:keepNext w:val="0"/>
              <w:keepLines w:val="0"/>
              <w:widowControl/>
              <w:suppressLineNumbers w:val="0"/>
              <w:jc w:val="right"/>
              <w:textAlignment w:val="center"/>
              <w:rPr>
                <w:rFonts w:hint="eastAsia" w:ascii="宋体" w:hAnsi="宋体" w:eastAsia="宋体" w:cs="宋体"/>
                <w:snapToGrid w:val="0"/>
                <w:color w:val="auto"/>
                <w:sz w:val="16"/>
                <w:szCs w:val="16"/>
                <w:highlight w:val="none"/>
                <w:lang w:val="en-US"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1,347.69 </w:t>
            </w:r>
          </w:p>
        </w:tc>
      </w:tr>
      <w:tr w14:paraId="50A967E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433" w:hRule="atLeast"/>
        </w:trPr>
        <w:tc>
          <w:tcPr>
            <w:tcW w:w="1628" w:type="pct"/>
            <w:shd w:val="clear" w:color="auto" w:fill="auto"/>
            <w:vAlign w:val="center"/>
          </w:tcPr>
          <w:p w14:paraId="2B8BAB71">
            <w:pPr>
              <w:widowControl/>
              <w:spacing w:line="240" w:lineRule="exact"/>
              <w:jc w:val="both"/>
              <w:rPr>
                <w:rFonts w:hint="eastAsia" w:ascii="宋体" w:hAnsi="宋体" w:eastAsia="宋体" w:cs="宋体"/>
                <w:color w:val="auto"/>
                <w:sz w:val="16"/>
                <w:szCs w:val="16"/>
                <w:highlight w:val="none"/>
                <w:lang w:eastAsia="zh-CN"/>
              </w:rPr>
            </w:pPr>
            <w:r>
              <w:rPr>
                <w:rFonts w:hint="eastAsia" w:ascii="宋体" w:hAnsi="宋体" w:eastAsia="宋体" w:cs="宋体"/>
                <w:color w:val="auto"/>
                <w:sz w:val="16"/>
                <w:szCs w:val="16"/>
                <w:highlight w:val="none"/>
                <w:lang w:eastAsia="zh-CN"/>
              </w:rPr>
              <w:t>研发中心及信息化建设项目</w:t>
            </w:r>
          </w:p>
        </w:tc>
        <w:tc>
          <w:tcPr>
            <w:tcW w:w="735" w:type="pct"/>
            <w:shd w:val="clear" w:color="auto" w:fill="auto"/>
            <w:vAlign w:val="center"/>
          </w:tcPr>
          <w:p w14:paraId="61FE04EB">
            <w:pPr>
              <w:keepNext w:val="0"/>
              <w:keepLines w:val="0"/>
              <w:widowControl/>
              <w:suppressLineNumbers w:val="0"/>
              <w:jc w:val="right"/>
              <w:textAlignment w:val="center"/>
              <w:rPr>
                <w:rFonts w:hint="eastAsia" w:ascii="宋体" w:hAnsi="宋体" w:eastAsia="宋体" w:cs="宋体"/>
                <w:color w:val="auto"/>
                <w:sz w:val="16"/>
                <w:szCs w:val="16"/>
                <w:highlight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6,250.00</w:t>
            </w:r>
          </w:p>
        </w:tc>
        <w:tc>
          <w:tcPr>
            <w:tcW w:w="850" w:type="pct"/>
            <w:shd w:val="clear" w:color="auto" w:fill="auto"/>
            <w:vAlign w:val="center"/>
          </w:tcPr>
          <w:p w14:paraId="0168DB3E">
            <w:pPr>
              <w:keepNext w:val="0"/>
              <w:keepLines w:val="0"/>
              <w:widowControl/>
              <w:suppressLineNumbers w:val="0"/>
              <w:jc w:val="right"/>
              <w:textAlignment w:val="center"/>
              <w:rPr>
                <w:rFonts w:hint="eastAsia" w:ascii="宋体" w:hAnsi="宋体" w:eastAsia="宋体" w:cs="宋体"/>
                <w:color w:val="auto"/>
                <w:sz w:val="16"/>
                <w:szCs w:val="16"/>
                <w:highlight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6,250.00</w:t>
            </w:r>
          </w:p>
        </w:tc>
        <w:tc>
          <w:tcPr>
            <w:tcW w:w="882" w:type="pct"/>
            <w:shd w:val="clear" w:color="auto" w:fill="auto"/>
            <w:vAlign w:val="center"/>
          </w:tcPr>
          <w:p w14:paraId="22CFD8F0">
            <w:pPr>
              <w:keepNext w:val="0"/>
              <w:keepLines w:val="0"/>
              <w:widowControl/>
              <w:suppressLineNumbers w:val="0"/>
              <w:jc w:val="right"/>
              <w:textAlignment w:val="center"/>
              <w:rPr>
                <w:rFonts w:hint="eastAsia" w:ascii="宋体" w:hAnsi="宋体" w:eastAsia="宋体" w:cs="宋体"/>
                <w:color w:val="auto"/>
                <w:sz w:val="16"/>
                <w:szCs w:val="16"/>
                <w:highlight w:val="none"/>
                <w:u w:val="none"/>
                <w:lang w:eastAsia="zh-CN"/>
              </w:rPr>
            </w:pPr>
            <w:r>
              <w:rPr>
                <w:rFonts w:hint="eastAsia" w:ascii="宋体" w:hAnsi="宋体" w:eastAsia="宋体" w:cs="宋体"/>
                <w:i w:val="0"/>
                <w:iCs w:val="0"/>
                <w:snapToGrid w:val="0"/>
                <w:color w:val="000000"/>
                <w:kern w:val="0"/>
                <w:sz w:val="16"/>
                <w:szCs w:val="16"/>
                <w:highlight w:val="none"/>
                <w:u w:val="none"/>
                <w:lang w:val="en-US" w:eastAsia="zh-CN" w:bidi="ar"/>
              </w:rPr>
              <w:t xml:space="preserve"> 3,409.23</w:t>
            </w:r>
          </w:p>
        </w:tc>
        <w:tc>
          <w:tcPr>
            <w:tcW w:w="902" w:type="pct"/>
            <w:shd w:val="clear" w:color="auto" w:fill="auto"/>
            <w:vAlign w:val="center"/>
          </w:tcPr>
          <w:p w14:paraId="4D722121">
            <w:pPr>
              <w:keepNext w:val="0"/>
              <w:keepLines w:val="0"/>
              <w:widowControl/>
              <w:suppressLineNumbers w:val="0"/>
              <w:jc w:val="right"/>
              <w:textAlignment w:val="center"/>
              <w:rPr>
                <w:rFonts w:hint="eastAsia" w:ascii="宋体" w:hAnsi="宋体" w:eastAsia="宋体" w:cs="宋体"/>
                <w:snapToGrid w:val="0"/>
                <w:color w:val="auto"/>
                <w:sz w:val="16"/>
                <w:szCs w:val="16"/>
                <w:highlight w:val="none"/>
                <w:lang w:val="en-US" w:eastAsia="zh-CN" w:bidi="ar"/>
              </w:rPr>
            </w:pPr>
            <w:r>
              <w:rPr>
                <w:rFonts w:hint="eastAsia" w:ascii="宋体" w:hAnsi="宋体" w:eastAsia="宋体" w:cs="宋体"/>
                <w:i w:val="0"/>
                <w:iCs w:val="0"/>
                <w:snapToGrid w:val="0"/>
                <w:color w:val="000000"/>
                <w:kern w:val="0"/>
                <w:sz w:val="16"/>
                <w:szCs w:val="16"/>
                <w:highlight w:val="none"/>
                <w:u w:val="none"/>
                <w:lang w:val="en-US" w:eastAsia="zh-CN" w:bidi="ar"/>
              </w:rPr>
              <w:t xml:space="preserve"> 2,908.45  </w:t>
            </w:r>
          </w:p>
        </w:tc>
      </w:tr>
      <w:tr w14:paraId="4C66FCF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571" w:hRule="atLeast"/>
        </w:trPr>
        <w:tc>
          <w:tcPr>
            <w:tcW w:w="1628" w:type="pct"/>
            <w:shd w:val="clear" w:color="auto" w:fill="auto"/>
            <w:vAlign w:val="center"/>
          </w:tcPr>
          <w:p w14:paraId="266F8BE6">
            <w:pPr>
              <w:widowControl/>
              <w:spacing w:line="240" w:lineRule="exact"/>
              <w:jc w:val="both"/>
              <w:rPr>
                <w:rFonts w:hint="eastAsia" w:ascii="宋体" w:hAnsi="宋体" w:eastAsia="宋体" w:cs="宋体"/>
                <w:b/>
                <w:bCs/>
                <w:color w:val="auto"/>
                <w:sz w:val="16"/>
                <w:szCs w:val="16"/>
                <w:highlight w:val="none"/>
                <w:lang w:eastAsia="zh-CN"/>
              </w:rPr>
            </w:pPr>
            <w:r>
              <w:rPr>
                <w:rFonts w:hint="eastAsia" w:ascii="宋体" w:hAnsi="宋体" w:eastAsia="宋体" w:cs="宋体"/>
                <w:b/>
                <w:bCs/>
                <w:color w:val="auto"/>
                <w:sz w:val="16"/>
                <w:szCs w:val="16"/>
                <w:highlight w:val="none"/>
                <w:lang w:eastAsia="zh-CN"/>
              </w:rPr>
              <w:t>合计</w:t>
            </w:r>
          </w:p>
        </w:tc>
        <w:tc>
          <w:tcPr>
            <w:tcW w:w="735" w:type="pct"/>
            <w:shd w:val="clear" w:color="auto" w:fill="auto"/>
            <w:vAlign w:val="center"/>
          </w:tcPr>
          <w:p w14:paraId="65853B69">
            <w:pPr>
              <w:keepNext w:val="0"/>
              <w:keepLines w:val="0"/>
              <w:widowControl/>
              <w:suppressLineNumbers w:val="0"/>
              <w:jc w:val="right"/>
              <w:textAlignment w:val="center"/>
              <w:rPr>
                <w:rFonts w:hint="eastAsia" w:ascii="宋体" w:hAnsi="宋体" w:eastAsia="宋体" w:cs="宋体"/>
                <w:b/>
                <w:bCs/>
                <w:color w:val="auto"/>
                <w:sz w:val="16"/>
                <w:szCs w:val="16"/>
                <w:highlight w:val="none"/>
              </w:rPr>
            </w:pPr>
            <w:r>
              <w:rPr>
                <w:rFonts w:hint="eastAsia" w:ascii="宋体" w:hAnsi="宋体" w:eastAsia="宋体" w:cs="宋体"/>
                <w:b/>
                <w:bCs/>
                <w:i w:val="0"/>
                <w:iCs w:val="0"/>
                <w:snapToGrid w:val="0"/>
                <w:color w:val="000000"/>
                <w:kern w:val="0"/>
                <w:sz w:val="16"/>
                <w:szCs w:val="16"/>
                <w:highlight w:val="none"/>
                <w:u w:val="none"/>
                <w:lang w:val="en-US" w:eastAsia="zh-CN" w:bidi="ar"/>
              </w:rPr>
              <w:t>42,336.64</w:t>
            </w:r>
          </w:p>
        </w:tc>
        <w:tc>
          <w:tcPr>
            <w:tcW w:w="850" w:type="pct"/>
            <w:shd w:val="clear" w:color="auto" w:fill="auto"/>
            <w:vAlign w:val="center"/>
          </w:tcPr>
          <w:p w14:paraId="516187C2">
            <w:pPr>
              <w:keepNext w:val="0"/>
              <w:keepLines w:val="0"/>
              <w:widowControl/>
              <w:suppressLineNumbers w:val="0"/>
              <w:jc w:val="right"/>
              <w:textAlignment w:val="center"/>
              <w:rPr>
                <w:rFonts w:hint="eastAsia" w:ascii="宋体" w:hAnsi="宋体" w:eastAsia="宋体" w:cs="宋体"/>
                <w:b/>
                <w:bCs/>
                <w:color w:val="auto"/>
                <w:sz w:val="16"/>
                <w:szCs w:val="16"/>
                <w:highlight w:val="none"/>
                <w:lang w:eastAsia="zh-CN"/>
              </w:rPr>
            </w:pPr>
            <w:r>
              <w:rPr>
                <w:rFonts w:hint="eastAsia" w:ascii="宋体" w:hAnsi="宋体" w:eastAsia="宋体" w:cs="宋体"/>
                <w:b/>
                <w:bCs/>
                <w:i w:val="0"/>
                <w:iCs w:val="0"/>
                <w:snapToGrid w:val="0"/>
                <w:color w:val="000000"/>
                <w:kern w:val="0"/>
                <w:sz w:val="16"/>
                <w:szCs w:val="16"/>
                <w:highlight w:val="none"/>
                <w:u w:val="none"/>
                <w:lang w:val="en-US" w:eastAsia="zh-CN" w:bidi="ar"/>
              </w:rPr>
              <w:t>37,849.06</w:t>
            </w:r>
          </w:p>
        </w:tc>
        <w:tc>
          <w:tcPr>
            <w:tcW w:w="882" w:type="pct"/>
            <w:shd w:val="clear" w:color="auto" w:fill="auto"/>
            <w:vAlign w:val="center"/>
          </w:tcPr>
          <w:p w14:paraId="32BB05BF">
            <w:pPr>
              <w:keepNext w:val="0"/>
              <w:keepLines w:val="0"/>
              <w:widowControl/>
              <w:suppressLineNumbers w:val="0"/>
              <w:jc w:val="right"/>
              <w:textAlignment w:val="center"/>
              <w:rPr>
                <w:rFonts w:hint="eastAsia" w:ascii="宋体" w:hAnsi="宋体" w:eastAsia="宋体" w:cs="宋体"/>
                <w:b/>
                <w:bCs/>
                <w:color w:val="auto"/>
                <w:sz w:val="16"/>
                <w:szCs w:val="16"/>
                <w:highlight w:val="none"/>
              </w:rPr>
            </w:pPr>
            <w:r>
              <w:rPr>
                <w:rFonts w:hint="eastAsia" w:ascii="宋体" w:hAnsi="宋体" w:eastAsia="宋体" w:cs="宋体"/>
                <w:b/>
                <w:bCs/>
                <w:i w:val="0"/>
                <w:iCs w:val="0"/>
                <w:snapToGrid w:val="0"/>
                <w:color w:val="000000"/>
                <w:kern w:val="0"/>
                <w:sz w:val="16"/>
                <w:szCs w:val="16"/>
                <w:highlight w:val="none"/>
                <w:u w:val="none"/>
                <w:lang w:val="en-US" w:eastAsia="zh-CN" w:bidi="ar"/>
              </w:rPr>
              <w:t>29,574.34</w:t>
            </w:r>
          </w:p>
        </w:tc>
        <w:tc>
          <w:tcPr>
            <w:tcW w:w="902" w:type="pct"/>
            <w:shd w:val="clear" w:color="auto" w:fill="auto"/>
            <w:vAlign w:val="center"/>
          </w:tcPr>
          <w:p w14:paraId="6C485851">
            <w:pPr>
              <w:keepNext w:val="0"/>
              <w:keepLines w:val="0"/>
              <w:widowControl/>
              <w:suppressLineNumbers w:val="0"/>
              <w:jc w:val="right"/>
              <w:textAlignment w:val="center"/>
              <w:rPr>
                <w:rFonts w:hint="eastAsia" w:ascii="宋体" w:hAnsi="宋体" w:eastAsia="宋体" w:cs="宋体"/>
                <w:b/>
                <w:bCs/>
                <w:snapToGrid w:val="0"/>
                <w:color w:val="auto"/>
                <w:sz w:val="16"/>
                <w:szCs w:val="16"/>
                <w:highlight w:val="none"/>
                <w:lang w:val="en-US" w:eastAsia="zh-CN" w:bidi="ar"/>
              </w:rPr>
            </w:pPr>
            <w:r>
              <w:rPr>
                <w:rFonts w:hint="eastAsia" w:ascii="宋体" w:hAnsi="宋体" w:eastAsia="宋体" w:cs="宋体"/>
                <w:b/>
                <w:bCs/>
                <w:i w:val="0"/>
                <w:iCs w:val="0"/>
                <w:snapToGrid w:val="0"/>
                <w:color w:val="000000"/>
                <w:kern w:val="0"/>
                <w:sz w:val="16"/>
                <w:szCs w:val="16"/>
                <w:highlight w:val="none"/>
                <w:u w:val="none"/>
                <w:lang w:val="en-US" w:eastAsia="zh-CN" w:bidi="ar"/>
              </w:rPr>
              <w:t xml:space="preserve"> 8,533.92 </w:t>
            </w:r>
          </w:p>
        </w:tc>
      </w:tr>
    </w:tbl>
    <w:p w14:paraId="0A3E57F6">
      <w:pPr>
        <w:pStyle w:val="3"/>
        <w:spacing w:before="32" w:line="351" w:lineRule="auto"/>
        <w:ind w:right="12" w:firstLine="154" w:firstLineChars="100"/>
        <w:jc w:val="both"/>
        <w:rPr>
          <w:rFonts w:hint="eastAsia" w:ascii="Times New Roman" w:hAnsi="Times New Roman"/>
          <w:spacing w:val="-3"/>
          <w:sz w:val="16"/>
          <w:szCs w:val="16"/>
          <w:lang w:val="en-US" w:eastAsia="zh-CN"/>
        </w:rPr>
      </w:pPr>
      <w:r>
        <w:rPr>
          <w:rFonts w:hint="eastAsia" w:ascii="Times New Roman" w:hAnsi="Times New Roman" w:eastAsia="宋体"/>
          <w:spacing w:val="-3"/>
          <w:sz w:val="16"/>
          <w:szCs w:val="16"/>
          <w:lang w:eastAsia="zh-CN"/>
        </w:rPr>
        <w:t>注</w:t>
      </w:r>
      <w:r>
        <w:rPr>
          <w:rFonts w:hint="eastAsia" w:ascii="Times New Roman" w:hAnsi="Times New Roman"/>
          <w:spacing w:val="-3"/>
          <w:sz w:val="16"/>
          <w:szCs w:val="16"/>
          <w:lang w:val="en-US" w:eastAsia="zh-CN"/>
        </w:rPr>
        <w:t>1</w:t>
      </w:r>
      <w:r>
        <w:rPr>
          <w:rFonts w:hint="eastAsia" w:ascii="Times New Roman" w:hAnsi="Times New Roman" w:eastAsia="宋体"/>
          <w:spacing w:val="-3"/>
          <w:sz w:val="16"/>
          <w:szCs w:val="16"/>
          <w:lang w:eastAsia="zh-CN"/>
        </w:rPr>
        <w:t>：</w:t>
      </w:r>
      <w:r>
        <w:rPr>
          <w:rFonts w:hint="eastAsia" w:ascii="Times New Roman" w:hAnsi="Times New Roman"/>
          <w:spacing w:val="-3"/>
          <w:sz w:val="16"/>
          <w:szCs w:val="16"/>
          <w:lang w:val="en-US" w:eastAsia="zh-CN"/>
        </w:rPr>
        <w:t>募集资金预计节余金额大于募集资金拟投入金额与已累计投入募集资金金额的差额系上述各项目募集资金专户利息或理财收入所致。</w:t>
      </w:r>
    </w:p>
    <w:p w14:paraId="202ABEBC">
      <w:pPr>
        <w:pStyle w:val="3"/>
        <w:spacing w:before="32" w:line="351" w:lineRule="auto"/>
        <w:ind w:right="12" w:firstLine="154" w:firstLineChars="100"/>
        <w:jc w:val="both"/>
        <w:rPr>
          <w:rFonts w:hint="default" w:ascii="Times New Roman" w:hAnsi="Times New Roman"/>
          <w:spacing w:val="-3"/>
          <w:sz w:val="16"/>
          <w:szCs w:val="16"/>
          <w:lang w:val="en-US" w:eastAsia="zh-CN"/>
        </w:rPr>
      </w:pPr>
      <w:r>
        <w:rPr>
          <w:rFonts w:hint="eastAsia" w:ascii="Times New Roman" w:hAnsi="Times New Roman"/>
          <w:spacing w:val="-3"/>
          <w:sz w:val="16"/>
          <w:szCs w:val="16"/>
          <w:lang w:val="en-US" w:eastAsia="zh-CN"/>
        </w:rPr>
        <w:t>注2：应付未付项目金额届时由公司自有资金支付。</w:t>
      </w:r>
    </w:p>
    <w:p w14:paraId="046AE3F9">
      <w:pPr>
        <w:pStyle w:val="3"/>
        <w:spacing w:before="32" w:line="351" w:lineRule="auto"/>
        <w:ind w:right="12" w:firstLine="154" w:firstLineChars="100"/>
        <w:jc w:val="both"/>
        <w:rPr>
          <w:rFonts w:ascii="Times New Roman" w:hAnsi="Times New Roman" w:eastAsia="宋体"/>
          <w:spacing w:val="-3"/>
          <w:sz w:val="16"/>
          <w:szCs w:val="16"/>
          <w:lang w:eastAsia="zh-CN"/>
        </w:rPr>
      </w:pPr>
      <w:r>
        <w:rPr>
          <w:rFonts w:hint="eastAsia" w:ascii="Times New Roman" w:hAnsi="Times New Roman"/>
          <w:spacing w:val="-3"/>
          <w:sz w:val="16"/>
          <w:szCs w:val="16"/>
          <w:lang w:val="en-US" w:eastAsia="zh-CN"/>
        </w:rPr>
        <w:t>注3：</w:t>
      </w:r>
      <w:r>
        <w:rPr>
          <w:rFonts w:hint="eastAsia" w:ascii="Times New Roman" w:hAnsi="Times New Roman" w:eastAsia="宋体"/>
          <w:spacing w:val="-3"/>
          <w:sz w:val="16"/>
          <w:szCs w:val="16"/>
          <w:lang w:eastAsia="zh-CN"/>
        </w:rPr>
        <w:t>节余</w:t>
      </w:r>
      <w:r>
        <w:rPr>
          <w:rFonts w:hint="eastAsia" w:ascii="Times New Roman" w:hAnsi="Times New Roman" w:eastAsia="宋体"/>
          <w:spacing w:val="-3"/>
          <w:sz w:val="16"/>
          <w:szCs w:val="16"/>
          <w:lang w:val="en-US" w:eastAsia="zh-CN"/>
        </w:rPr>
        <w:t>募集</w:t>
      </w:r>
      <w:r>
        <w:rPr>
          <w:rFonts w:hint="eastAsia" w:ascii="Times New Roman" w:hAnsi="Times New Roman" w:eastAsia="宋体"/>
          <w:spacing w:val="-3"/>
          <w:sz w:val="16"/>
          <w:szCs w:val="16"/>
          <w:lang w:eastAsia="zh-CN"/>
        </w:rPr>
        <w:t>资金实际金额以资金转出当日专户余额为准。</w:t>
      </w:r>
    </w:p>
    <w:p w14:paraId="58947FE8">
      <w:pPr>
        <w:pStyle w:val="3"/>
        <w:spacing w:before="189" w:line="560" w:lineRule="exact"/>
        <w:ind w:left="605"/>
        <w:jc w:val="both"/>
        <w:outlineLvl w:val="0"/>
        <w:rPr>
          <w:rFonts w:ascii="Times New Roman" w:hAnsi="Times New Roman" w:eastAsia="宋体"/>
          <w:lang w:eastAsia="zh-CN"/>
        </w:rPr>
      </w:pPr>
      <w:r>
        <w:rPr>
          <w:rFonts w:hint="eastAsia" w:ascii="Times New Roman" w:hAnsi="Times New Roman" w:eastAsia="宋体"/>
          <w:b/>
          <w:bCs/>
          <w:spacing w:val="-2"/>
          <w:lang w:eastAsia="zh-CN"/>
        </w:rPr>
        <w:t>四、部分募投项目结项并将剩余募集资金用于其他募投项</w:t>
      </w:r>
      <w:r>
        <w:rPr>
          <w:rFonts w:hint="eastAsia" w:ascii="Times New Roman" w:hAnsi="Times New Roman" w:eastAsia="宋体"/>
          <w:b/>
          <w:bCs/>
          <w:spacing w:val="-3"/>
          <w:lang w:eastAsia="zh-CN"/>
        </w:rPr>
        <w:t>目的情况</w:t>
      </w:r>
    </w:p>
    <w:p w14:paraId="53FBBD5F">
      <w:pPr>
        <w:pStyle w:val="3"/>
        <w:spacing w:before="78" w:line="560" w:lineRule="exact"/>
        <w:ind w:left="608"/>
        <w:jc w:val="both"/>
        <w:outlineLvl w:val="1"/>
        <w:rPr>
          <w:rFonts w:ascii="Times New Roman" w:hAnsi="Times New Roman" w:eastAsia="宋体"/>
          <w:lang w:eastAsia="zh-CN"/>
        </w:rPr>
      </w:pPr>
      <w:r>
        <w:rPr>
          <w:rFonts w:hint="eastAsia" w:ascii="Times New Roman" w:hAnsi="Times New Roman" w:eastAsia="宋体"/>
          <w:b/>
          <w:bCs/>
          <w:spacing w:val="-4"/>
          <w:lang w:eastAsia="zh-CN"/>
        </w:rPr>
        <w:t>（一）部分募投项目结项情况</w:t>
      </w:r>
    </w:p>
    <w:p w14:paraId="4B7362AE">
      <w:pPr>
        <w:pStyle w:val="3"/>
        <w:spacing w:before="188" w:line="560" w:lineRule="exact"/>
        <w:ind w:right="84" w:firstLine="483"/>
        <w:jc w:val="both"/>
        <w:rPr>
          <w:rFonts w:ascii="Times New Roman" w:hAnsi="Times New Roman" w:eastAsia="宋体"/>
          <w:lang w:eastAsia="zh-CN"/>
        </w:rPr>
      </w:pPr>
      <w:r>
        <w:rPr>
          <w:rFonts w:hint="eastAsia" w:ascii="Times New Roman" w:hAnsi="Times New Roman" w:eastAsia="宋体"/>
          <w:spacing w:val="-3"/>
          <w:lang w:eastAsia="zh-CN"/>
        </w:rPr>
        <w:t>本次</w:t>
      </w:r>
      <w:r>
        <w:rPr>
          <w:rFonts w:hint="eastAsia" w:ascii="Times New Roman" w:hAnsi="Times New Roman" w:eastAsia="宋体"/>
          <w:spacing w:val="-3"/>
          <w:highlight w:val="none"/>
          <w:lang w:eastAsia="zh-CN"/>
        </w:rPr>
        <w:t>结项的募集资金投资项目为“智能成套电气设备产业基地建设项目”“110kV及以下节能型变压器智能化工厂技改项目”和“研发中心及信息化建设项目”。截止</w:t>
      </w:r>
      <w:r>
        <w:rPr>
          <w:rFonts w:hint="eastAsia" w:ascii="Times New Roman" w:hAnsi="Times New Roman" w:eastAsia="宋体"/>
          <w:spacing w:val="-17"/>
          <w:highlight w:val="none"/>
          <w:lang w:eastAsia="zh-CN"/>
        </w:rPr>
        <w:t xml:space="preserve"> </w:t>
      </w:r>
      <w:r>
        <w:rPr>
          <w:rFonts w:hint="eastAsia" w:ascii="Times New Roman" w:hAnsi="Times New Roman" w:eastAsia="宋体"/>
          <w:spacing w:val="-3"/>
          <w:highlight w:val="none"/>
          <w:lang w:eastAsia="zh-CN"/>
        </w:rPr>
        <w:t>2024年</w:t>
      </w:r>
      <w:r>
        <w:rPr>
          <w:rFonts w:hint="eastAsia" w:ascii="Times New Roman" w:hAnsi="Times New Roman"/>
          <w:spacing w:val="-29"/>
          <w:highlight w:val="none"/>
          <w:lang w:val="en-US" w:eastAsia="zh-CN"/>
        </w:rPr>
        <w:t>10</w:t>
      </w:r>
      <w:r>
        <w:rPr>
          <w:rFonts w:hint="eastAsia" w:ascii="Times New Roman" w:hAnsi="Times New Roman" w:eastAsia="宋体"/>
          <w:spacing w:val="-3"/>
          <w:highlight w:val="none"/>
          <w:lang w:eastAsia="zh-CN"/>
        </w:rPr>
        <w:t>月</w:t>
      </w:r>
      <w:r>
        <w:rPr>
          <w:rFonts w:hint="eastAsia" w:ascii="Times New Roman" w:hAnsi="Times New Roman"/>
          <w:spacing w:val="-29"/>
          <w:highlight w:val="none"/>
          <w:lang w:val="en-US" w:eastAsia="zh-CN"/>
        </w:rPr>
        <w:t>31</w:t>
      </w:r>
      <w:r>
        <w:rPr>
          <w:rFonts w:hint="eastAsia" w:ascii="Times New Roman" w:hAnsi="Times New Roman" w:eastAsia="宋体"/>
          <w:spacing w:val="-3"/>
          <w:highlight w:val="none"/>
          <w:lang w:eastAsia="zh-CN"/>
        </w:rPr>
        <w:t>日，上述募投项目已完成建设并达到</w:t>
      </w:r>
      <w:r>
        <w:rPr>
          <w:rFonts w:hint="eastAsia" w:ascii="Times New Roman" w:hAnsi="Times New Roman" w:eastAsia="宋体"/>
          <w:spacing w:val="-3"/>
          <w:highlight w:val="none"/>
          <w:lang w:val="en-US" w:eastAsia="zh-CN"/>
        </w:rPr>
        <w:t>预定</w:t>
      </w:r>
      <w:r>
        <w:rPr>
          <w:rFonts w:hint="eastAsia" w:ascii="Times New Roman" w:hAnsi="Times New Roman" w:eastAsia="宋体"/>
          <w:spacing w:val="-3"/>
          <w:highlight w:val="none"/>
          <w:lang w:eastAsia="zh-CN"/>
        </w:rPr>
        <w:t>可使用状态，累计使用募集资金金额</w:t>
      </w:r>
      <w:r>
        <w:rPr>
          <w:rFonts w:hint="eastAsia" w:ascii="Times New Roman" w:hAnsi="Times New Roman" w:eastAsia="宋体"/>
          <w:highlight w:val="none"/>
          <w:lang w:eastAsia="zh-CN"/>
        </w:rPr>
        <w:t xml:space="preserve">  29,574.34  </w:t>
      </w:r>
      <w:r>
        <w:rPr>
          <w:rFonts w:hint="eastAsia" w:ascii="Times New Roman" w:hAnsi="Times New Roman" w:eastAsia="宋体"/>
          <w:spacing w:val="-1"/>
          <w:highlight w:val="none"/>
          <w:lang w:eastAsia="zh-CN"/>
        </w:rPr>
        <w:t xml:space="preserve">万元，预计节余募集资金 8,533.92 </w:t>
      </w:r>
      <w:r>
        <w:rPr>
          <w:rFonts w:hint="eastAsia" w:ascii="Times New Roman" w:hAnsi="Times New Roman" w:eastAsia="宋体"/>
          <w:spacing w:val="-2"/>
          <w:highlight w:val="none"/>
          <w:lang w:eastAsia="zh-CN"/>
        </w:rPr>
        <w:t>万元</w:t>
      </w:r>
      <w:r>
        <w:rPr>
          <w:rFonts w:hint="eastAsia" w:ascii="Times New Roman" w:hAnsi="Times New Roman" w:eastAsia="宋体"/>
          <w:spacing w:val="-2"/>
          <w:lang w:eastAsia="zh-CN"/>
        </w:rPr>
        <w:t>（包括累计收到的</w:t>
      </w:r>
      <w:r>
        <w:rPr>
          <w:rFonts w:hint="eastAsia" w:ascii="Times New Roman" w:hAnsi="Times New Roman" w:eastAsia="宋体" w:cs="宋体"/>
          <w:sz w:val="24"/>
          <w:szCs w:val="32"/>
        </w:rPr>
        <w:t>募集资金专户利息</w:t>
      </w:r>
      <w:r>
        <w:rPr>
          <w:rFonts w:hint="eastAsia" w:ascii="Times New Roman" w:hAnsi="Times New Roman" w:eastAsia="宋体" w:cs="宋体"/>
          <w:sz w:val="24"/>
          <w:szCs w:val="32"/>
          <w:lang w:val="en-US" w:eastAsia="zh-CN"/>
        </w:rPr>
        <w:t>及</w:t>
      </w:r>
      <w:r>
        <w:rPr>
          <w:rFonts w:hint="eastAsia" w:ascii="Times New Roman" w:hAnsi="Times New Roman" w:eastAsia="宋体" w:cs="宋体"/>
          <w:sz w:val="24"/>
          <w:szCs w:val="32"/>
        </w:rPr>
        <w:t>理财收入</w:t>
      </w:r>
      <w:r>
        <w:rPr>
          <w:rFonts w:hint="eastAsia" w:ascii="Times New Roman" w:hAnsi="Times New Roman" w:eastAsia="宋体"/>
          <w:spacing w:val="-47"/>
          <w:lang w:eastAsia="zh-CN"/>
        </w:rPr>
        <w:t>）。</w:t>
      </w:r>
    </w:p>
    <w:p w14:paraId="249D8F25">
      <w:pPr>
        <w:pStyle w:val="3"/>
        <w:spacing w:before="199" w:line="560" w:lineRule="exact"/>
        <w:ind w:left="493"/>
        <w:jc w:val="both"/>
        <w:outlineLvl w:val="1"/>
        <w:rPr>
          <w:rFonts w:ascii="Times New Roman" w:hAnsi="Times New Roman" w:eastAsia="宋体"/>
          <w:lang w:eastAsia="zh-CN"/>
        </w:rPr>
      </w:pPr>
      <w:r>
        <w:rPr>
          <w:rFonts w:hint="eastAsia" w:ascii="Times New Roman" w:hAnsi="Times New Roman" w:eastAsia="宋体"/>
          <w:b/>
          <w:bCs/>
          <w:spacing w:val="-3"/>
          <w:lang w:eastAsia="zh-CN"/>
        </w:rPr>
        <w:t>（二）募集资金</w:t>
      </w:r>
      <w:r>
        <w:rPr>
          <w:rFonts w:hint="eastAsia" w:ascii="Times New Roman" w:hAnsi="Times New Roman"/>
          <w:b/>
          <w:bCs/>
          <w:spacing w:val="-3"/>
          <w:lang w:val="en-US" w:eastAsia="zh-CN"/>
        </w:rPr>
        <w:t>节</w:t>
      </w:r>
      <w:r>
        <w:rPr>
          <w:rFonts w:hint="eastAsia" w:ascii="Times New Roman" w:hAnsi="Times New Roman" w:eastAsia="宋体"/>
          <w:b/>
          <w:bCs/>
          <w:spacing w:val="-3"/>
          <w:lang w:eastAsia="zh-CN"/>
        </w:rPr>
        <w:t>余的主要原因</w:t>
      </w:r>
    </w:p>
    <w:p w14:paraId="4B89416D">
      <w:pPr>
        <w:pStyle w:val="3"/>
        <w:spacing w:before="180" w:line="560" w:lineRule="exact"/>
        <w:ind w:left="7" w:right="95" w:firstLine="495"/>
        <w:jc w:val="both"/>
        <w:rPr>
          <w:rFonts w:ascii="Times New Roman" w:hAnsi="Times New Roman" w:eastAsia="宋体"/>
          <w:lang w:eastAsia="zh-CN"/>
        </w:rPr>
      </w:pPr>
      <w:r>
        <w:rPr>
          <w:rFonts w:hint="eastAsia" w:ascii="Times New Roman" w:hAnsi="Times New Roman" w:eastAsia="宋体"/>
          <w:spacing w:val="-7"/>
          <w:lang w:eastAsia="zh-CN"/>
        </w:rPr>
        <w:t>1、在项目实施过程中，公司严格按照募集资金使用的有关规定，在保障</w:t>
      </w:r>
      <w:r>
        <w:rPr>
          <w:rFonts w:hint="eastAsia" w:ascii="Times New Roman" w:hAnsi="Times New Roman" w:eastAsia="宋体"/>
          <w:spacing w:val="-8"/>
          <w:lang w:eastAsia="zh-CN"/>
        </w:rPr>
        <w:t>项目</w:t>
      </w:r>
      <w:r>
        <w:rPr>
          <w:rFonts w:hint="eastAsia" w:ascii="Times New Roman" w:hAnsi="Times New Roman" w:eastAsia="宋体"/>
          <w:spacing w:val="2"/>
          <w:lang w:eastAsia="zh-CN"/>
        </w:rPr>
        <w:t>建设质量的基础上结合项目的实际情况，严格管理，合理配置资源，控制项目建</w:t>
      </w:r>
      <w:r>
        <w:rPr>
          <w:rFonts w:hint="eastAsia" w:ascii="Times New Roman" w:hAnsi="Times New Roman" w:eastAsia="宋体"/>
          <w:spacing w:val="-9"/>
          <w:lang w:eastAsia="zh-CN"/>
        </w:rPr>
        <w:t>设支出。</w:t>
      </w:r>
    </w:p>
    <w:p w14:paraId="6B9FDB45">
      <w:pPr>
        <w:pStyle w:val="3"/>
        <w:spacing w:before="179" w:line="560" w:lineRule="exact"/>
        <w:ind w:left="6" w:right="84" w:firstLine="473"/>
        <w:jc w:val="both"/>
        <w:rPr>
          <w:rFonts w:ascii="Times New Roman" w:hAnsi="Times New Roman" w:eastAsia="宋体"/>
          <w:spacing w:val="-3"/>
          <w:lang w:eastAsia="zh-CN"/>
        </w:rPr>
      </w:pPr>
      <w:r>
        <w:rPr>
          <w:rFonts w:hint="eastAsia" w:ascii="Times New Roman" w:hAnsi="Times New Roman" w:eastAsia="宋体"/>
          <w:spacing w:val="-1"/>
          <w:lang w:eastAsia="zh-CN"/>
        </w:rPr>
        <w:t>2、在确保不影响募投项目建设和募集资金安全的前提下，公司为提高募集资</w:t>
      </w:r>
      <w:r>
        <w:rPr>
          <w:rFonts w:hint="eastAsia" w:ascii="Times New Roman" w:hAnsi="Times New Roman" w:eastAsia="宋体"/>
          <w:spacing w:val="2"/>
          <w:lang w:eastAsia="zh-CN"/>
        </w:rPr>
        <w:t>金的使用效率，使用部分闲置募集资金进行现金管理获得了一定的投资收益。同</w:t>
      </w:r>
      <w:r>
        <w:rPr>
          <w:rFonts w:hint="eastAsia" w:ascii="Times New Roman" w:hAnsi="Times New Roman" w:eastAsia="宋体"/>
          <w:spacing w:val="-3"/>
          <w:lang w:eastAsia="zh-CN"/>
        </w:rPr>
        <w:t>时，募集资金存放银行期间产生了利息收益。</w:t>
      </w:r>
    </w:p>
    <w:p w14:paraId="6EABDCC0">
      <w:pPr>
        <w:pStyle w:val="3"/>
        <w:spacing w:before="179" w:line="560" w:lineRule="exact"/>
        <w:ind w:left="6" w:right="84" w:firstLine="473"/>
        <w:jc w:val="both"/>
        <w:rPr>
          <w:rFonts w:ascii="Times New Roman" w:hAnsi="Times New Roman" w:eastAsia="宋体"/>
          <w:highlight w:val="none"/>
          <w:lang w:eastAsia="zh-CN"/>
        </w:rPr>
      </w:pPr>
      <w:r>
        <w:rPr>
          <w:rFonts w:hint="eastAsia" w:ascii="Times New Roman" w:hAnsi="Times New Roman" w:eastAsia="宋体"/>
          <w:spacing w:val="-3"/>
          <w:highlight w:val="none"/>
          <w:lang w:eastAsia="zh-CN"/>
        </w:rPr>
        <w:t>3、各项目已签署合同，</w:t>
      </w:r>
      <w:r>
        <w:rPr>
          <w:rFonts w:hint="eastAsia" w:ascii="Times New Roman" w:hAnsi="Times New Roman"/>
          <w:spacing w:val="-3"/>
          <w:highlight w:val="none"/>
          <w:lang w:val="en-US" w:eastAsia="zh-CN"/>
        </w:rPr>
        <w:t>尚有</w:t>
      </w:r>
      <w:r>
        <w:rPr>
          <w:rFonts w:hint="eastAsia" w:ascii="Times New Roman" w:hAnsi="Times New Roman" w:eastAsia="宋体"/>
          <w:spacing w:val="-3"/>
          <w:highlight w:val="none"/>
          <w:lang w:eastAsia="zh-CN"/>
        </w:rPr>
        <w:t>应付未付</w:t>
      </w:r>
      <w:r>
        <w:rPr>
          <w:rFonts w:hint="eastAsia" w:ascii="Times New Roman" w:hAnsi="Times New Roman" w:eastAsia="宋体"/>
          <w:spacing w:val="-3"/>
          <w:highlight w:val="none"/>
          <w:lang w:val="en-US" w:eastAsia="zh-CN"/>
        </w:rPr>
        <w:t>金额</w:t>
      </w:r>
      <w:r>
        <w:rPr>
          <w:rFonts w:hint="eastAsia" w:ascii="Times New Roman" w:hAnsi="Times New Roman"/>
          <w:spacing w:val="-3"/>
          <w:highlight w:val="none"/>
          <w:lang w:val="en-US" w:eastAsia="zh-CN"/>
        </w:rPr>
        <w:t>，</w:t>
      </w:r>
      <w:r>
        <w:rPr>
          <w:rFonts w:hint="eastAsia" w:ascii="Times New Roman" w:hAnsi="Times New Roman" w:eastAsia="宋体"/>
          <w:spacing w:val="-3"/>
          <w:highlight w:val="none"/>
          <w:lang w:val="en-US" w:eastAsia="zh-CN"/>
        </w:rPr>
        <w:t>主要为</w:t>
      </w:r>
      <w:r>
        <w:rPr>
          <w:rFonts w:hint="eastAsia" w:ascii="Times New Roman" w:hAnsi="Times New Roman" w:eastAsia="宋体"/>
          <w:spacing w:val="-3"/>
          <w:highlight w:val="none"/>
          <w:lang w:eastAsia="zh-CN"/>
        </w:rPr>
        <w:t>验收款及质保金</w:t>
      </w:r>
      <w:r>
        <w:rPr>
          <w:rFonts w:hint="eastAsia" w:ascii="Times New Roman" w:hAnsi="Times New Roman"/>
          <w:spacing w:val="-3"/>
          <w:highlight w:val="none"/>
          <w:lang w:eastAsia="zh-CN"/>
        </w:rPr>
        <w:t>，</w:t>
      </w:r>
      <w:r>
        <w:rPr>
          <w:rFonts w:hint="eastAsia" w:ascii="Times New Roman" w:hAnsi="Times New Roman" w:eastAsia="宋体"/>
          <w:spacing w:val="-3"/>
          <w:highlight w:val="none"/>
          <w:lang w:eastAsia="zh-CN"/>
        </w:rPr>
        <w:t>结项后由公司自有资金支付。</w:t>
      </w:r>
    </w:p>
    <w:p w14:paraId="5240A729">
      <w:pPr>
        <w:pStyle w:val="3"/>
        <w:spacing w:before="78" w:line="560" w:lineRule="exact"/>
        <w:ind w:left="493"/>
        <w:jc w:val="both"/>
        <w:outlineLvl w:val="1"/>
        <w:rPr>
          <w:rFonts w:ascii="Times New Roman" w:hAnsi="Times New Roman" w:eastAsia="宋体"/>
          <w:lang w:eastAsia="zh-CN"/>
        </w:rPr>
      </w:pPr>
      <w:r>
        <w:rPr>
          <w:rFonts w:hint="eastAsia" w:ascii="Times New Roman" w:hAnsi="Times New Roman" w:eastAsia="宋体"/>
          <w:b/>
          <w:bCs/>
          <w:spacing w:val="-7"/>
          <w:lang w:eastAsia="zh-CN"/>
        </w:rPr>
        <w:t>（三）节余募集资金的使用安排</w:t>
      </w:r>
    </w:p>
    <w:p w14:paraId="1559C203">
      <w:pPr>
        <w:pStyle w:val="3"/>
        <w:spacing w:before="78" w:line="560" w:lineRule="exact"/>
        <w:ind w:left="4" w:right="83" w:firstLine="482"/>
        <w:jc w:val="both"/>
        <w:rPr>
          <w:rFonts w:hint="default" w:ascii="Times New Roman" w:hAnsi="Times New Roman" w:eastAsia="宋体"/>
          <w:lang w:val="en-US" w:eastAsia="zh-CN"/>
        </w:rPr>
      </w:pPr>
      <w:r>
        <w:rPr>
          <w:rFonts w:hint="eastAsia" w:ascii="Times New Roman" w:hAnsi="Times New Roman" w:eastAsia="宋体"/>
          <w:spacing w:val="-4"/>
          <w:lang w:eastAsia="zh-CN"/>
        </w:rPr>
        <w:t>鉴于上述募投项目已完成建设并已达到预定可使用状态，为合理</w:t>
      </w:r>
      <w:r>
        <w:rPr>
          <w:rFonts w:hint="eastAsia" w:ascii="Times New Roman" w:hAnsi="Times New Roman" w:eastAsia="宋体"/>
          <w:spacing w:val="-3"/>
          <w:lang w:eastAsia="zh-CN"/>
        </w:rPr>
        <w:t>配置资金，保障募投项目顺利实施，公司拟将“智能成套电气设备产业基地建设项目”“110kV及以下节能型变压器智能化工厂技改项目”和“研发中心及信息化建设项目”节余募集资金</w:t>
      </w:r>
      <w:r>
        <w:rPr>
          <w:rFonts w:hint="eastAsia" w:ascii="Times New Roman" w:hAnsi="Times New Roman" w:eastAsia="宋体"/>
          <w:spacing w:val="-4"/>
          <w:lang w:eastAsia="zh-CN"/>
        </w:rPr>
        <w:t>全</w:t>
      </w:r>
      <w:r>
        <w:rPr>
          <w:rFonts w:hint="eastAsia" w:ascii="Times New Roman" w:hAnsi="Times New Roman" w:eastAsia="宋体"/>
          <w:spacing w:val="-1"/>
          <w:lang w:eastAsia="zh-CN"/>
        </w:rPr>
        <w:t>部用于“智控设备及金属制品智能工厂建设项目（一期）”建设</w:t>
      </w:r>
      <w:r>
        <w:rPr>
          <w:rFonts w:hint="eastAsia" w:ascii="Times New Roman" w:hAnsi="Times New Roman" w:eastAsia="宋体"/>
          <w:spacing w:val="-1"/>
          <w:highlight w:val="none"/>
          <w:lang w:eastAsia="zh-CN"/>
        </w:rPr>
        <w:t>。</w:t>
      </w:r>
      <w:r>
        <w:rPr>
          <w:rFonts w:hint="eastAsia" w:ascii="Times New Roman" w:hAnsi="Times New Roman"/>
          <w:spacing w:val="-1"/>
          <w:highlight w:val="none"/>
          <w:lang w:val="en-US" w:eastAsia="zh-CN"/>
        </w:rPr>
        <w:t>本次</w:t>
      </w:r>
      <w:r>
        <w:rPr>
          <w:rFonts w:hint="eastAsia" w:ascii="Times New Roman" w:hAnsi="Times New Roman"/>
          <w:b w:val="0"/>
          <w:bCs w:val="0"/>
          <w:spacing w:val="-1"/>
          <w:sz w:val="24"/>
          <w:szCs w:val="24"/>
          <w:highlight w:val="none"/>
          <w:lang w:val="en-US" w:eastAsia="zh-CN"/>
        </w:rPr>
        <w:t>节余</w:t>
      </w:r>
      <w:r>
        <w:rPr>
          <w:rFonts w:hint="eastAsia" w:cs="宋体"/>
          <w:b w:val="0"/>
          <w:bCs w:val="0"/>
          <w:i w:val="0"/>
          <w:iCs w:val="0"/>
          <w:snapToGrid w:val="0"/>
          <w:color w:val="000000"/>
          <w:kern w:val="0"/>
          <w:sz w:val="24"/>
          <w:szCs w:val="24"/>
          <w:highlight w:val="none"/>
          <w:u w:val="none"/>
          <w:lang w:val="en-US" w:eastAsia="zh-CN" w:bidi="ar"/>
        </w:rPr>
        <w:t>募集资金转入</w:t>
      </w:r>
      <w:r>
        <w:rPr>
          <w:rFonts w:hint="eastAsia" w:ascii="Times New Roman" w:hAnsi="Times New Roman" w:eastAsia="宋体"/>
          <w:b w:val="0"/>
          <w:bCs w:val="0"/>
          <w:spacing w:val="-1"/>
          <w:sz w:val="24"/>
          <w:szCs w:val="24"/>
          <w:highlight w:val="none"/>
          <w:lang w:eastAsia="zh-CN"/>
        </w:rPr>
        <w:t>“智控设备及金属制品智能工厂建设项目（一期）”</w:t>
      </w:r>
      <w:r>
        <w:rPr>
          <w:rFonts w:hint="eastAsia" w:ascii="Times New Roman" w:hAnsi="Times New Roman"/>
          <w:b w:val="0"/>
          <w:bCs w:val="0"/>
          <w:spacing w:val="-1"/>
          <w:sz w:val="24"/>
          <w:szCs w:val="24"/>
          <w:highlight w:val="none"/>
          <w:lang w:val="en-US" w:eastAsia="zh-CN"/>
        </w:rPr>
        <w:t>项目后，该项目的拟投入募集资金金额由14,774.44万元增加至为23,308.36万元，该项目总投资金额超过拟投入募集资金金额部分由公司自筹资金解决。</w:t>
      </w:r>
    </w:p>
    <w:p w14:paraId="2F74B912">
      <w:pPr>
        <w:pStyle w:val="3"/>
        <w:spacing w:before="192" w:line="560" w:lineRule="exact"/>
        <w:ind w:left="486"/>
        <w:jc w:val="both"/>
        <w:outlineLvl w:val="0"/>
        <w:rPr>
          <w:rFonts w:ascii="Times New Roman" w:hAnsi="Times New Roman" w:eastAsia="宋体"/>
          <w:lang w:eastAsia="zh-CN"/>
        </w:rPr>
      </w:pPr>
      <w:r>
        <w:rPr>
          <w:rFonts w:hint="eastAsia" w:ascii="Times New Roman" w:hAnsi="Times New Roman" w:eastAsia="宋体"/>
          <w:b/>
          <w:bCs/>
          <w:spacing w:val="-2"/>
          <w:lang w:eastAsia="zh-CN"/>
        </w:rPr>
        <w:t>五、本次部分募集资金结项并将</w:t>
      </w:r>
      <w:r>
        <w:rPr>
          <w:rFonts w:hint="eastAsia" w:ascii="Times New Roman" w:hAnsi="Times New Roman"/>
          <w:b/>
          <w:bCs/>
          <w:spacing w:val="-2"/>
          <w:lang w:eastAsia="zh-CN"/>
        </w:rPr>
        <w:t>节余</w:t>
      </w:r>
      <w:r>
        <w:rPr>
          <w:rFonts w:hint="eastAsia" w:ascii="Times New Roman" w:hAnsi="Times New Roman" w:eastAsia="宋体"/>
          <w:b/>
          <w:bCs/>
          <w:spacing w:val="-2"/>
          <w:lang w:eastAsia="zh-CN"/>
        </w:rPr>
        <w:t>资金用于其他募投项目对公司的影</w:t>
      </w:r>
      <w:r>
        <w:rPr>
          <w:rFonts w:hint="eastAsia" w:ascii="Times New Roman" w:hAnsi="Times New Roman" w:eastAsia="宋体"/>
          <w:b/>
          <w:bCs/>
          <w:color w:val="333333"/>
          <w:spacing w:val="-2"/>
          <w:lang w:eastAsia="zh-CN"/>
        </w:rPr>
        <w:t>响</w:t>
      </w:r>
    </w:p>
    <w:p w14:paraId="2BECA20F">
      <w:pPr>
        <w:pStyle w:val="3"/>
        <w:spacing w:before="78" w:line="560" w:lineRule="exact"/>
        <w:ind w:left="4" w:right="83" w:firstLine="482"/>
        <w:jc w:val="both"/>
        <w:rPr>
          <w:rFonts w:ascii="Times New Roman" w:hAnsi="Times New Roman" w:eastAsia="宋体"/>
          <w:spacing w:val="-3"/>
          <w:lang w:eastAsia="zh-CN"/>
        </w:rPr>
      </w:pPr>
      <w:r>
        <w:rPr>
          <w:rFonts w:hint="eastAsia" w:ascii="Times New Roman" w:hAnsi="Times New Roman" w:eastAsia="宋体"/>
          <w:spacing w:val="-3"/>
          <w:lang w:eastAsia="zh-CN"/>
        </w:rPr>
        <w:t>本次事项系</w:t>
      </w:r>
      <w:r>
        <w:rPr>
          <w:rFonts w:hint="eastAsia" w:ascii="Times New Roman" w:hAnsi="Times New Roman" w:eastAsia="宋体" w:cs="宋体"/>
          <w:spacing w:val="-3"/>
          <w:sz w:val="24"/>
          <w:szCs w:val="24"/>
          <w:lang w:val="en-US" w:eastAsia="zh-CN"/>
        </w:rPr>
        <w:t>根据募投项目的实施情况做出的慎重决定，符合公司经营的实际情况，有利于合理优化资源配置，提高募集资金的使用效率</w:t>
      </w:r>
      <w:r>
        <w:rPr>
          <w:rFonts w:hint="eastAsia" w:ascii="Times New Roman" w:hAnsi="Times New Roman" w:eastAsia="宋体"/>
          <w:shd w:val="clear" w:color="auto" w:fill="FFFFFF"/>
          <w:lang w:eastAsia="zh-CN"/>
        </w:rPr>
        <w:t>，符合公司的长期发展规划及全体股东的长远利益，</w:t>
      </w:r>
      <w:r>
        <w:rPr>
          <w:rFonts w:hint="eastAsia" w:ascii="Times New Roman" w:hAnsi="Times New Roman" w:eastAsia="宋体" w:cstheme="majorEastAsia"/>
          <w:spacing w:val="-3"/>
          <w:lang w:eastAsia="zh-CN"/>
        </w:rPr>
        <w:t>不存在损害</w:t>
      </w:r>
      <w:r>
        <w:rPr>
          <w:rFonts w:hint="eastAsia" w:ascii="Times New Roman" w:hAnsi="Times New Roman" w:eastAsia="宋体" w:cstheme="majorEastAsia"/>
          <w:spacing w:val="-3"/>
          <w:sz w:val="24"/>
          <w:szCs w:val="24"/>
          <w:lang w:val="en-US" w:eastAsia="zh-CN"/>
        </w:rPr>
        <w:t>公司及</w:t>
      </w:r>
      <w:r>
        <w:rPr>
          <w:rFonts w:hint="eastAsia" w:ascii="Times New Roman" w:hAnsi="Times New Roman" w:eastAsia="宋体" w:cstheme="majorEastAsia"/>
          <w:spacing w:val="-3"/>
          <w:lang w:eastAsia="zh-CN"/>
        </w:rPr>
        <w:t>股东利益的情形</w:t>
      </w:r>
      <w:r>
        <w:rPr>
          <w:rFonts w:hint="eastAsia" w:ascii="Times New Roman" w:hAnsi="Times New Roman" w:eastAsia="宋体"/>
          <w:spacing w:val="-3"/>
          <w:lang w:eastAsia="zh-CN"/>
        </w:rPr>
        <w:t>。</w:t>
      </w:r>
    </w:p>
    <w:p w14:paraId="3011EDF8">
      <w:pPr>
        <w:pStyle w:val="3"/>
        <w:numPr>
          <w:ilvl w:val="0"/>
          <w:numId w:val="1"/>
        </w:numPr>
        <w:spacing w:before="187" w:line="560" w:lineRule="exact"/>
        <w:ind w:left="509"/>
        <w:jc w:val="both"/>
        <w:outlineLvl w:val="0"/>
        <w:rPr>
          <w:rFonts w:hint="eastAsia" w:ascii="Times New Roman" w:hAnsi="Times New Roman" w:eastAsia="宋体"/>
          <w:b/>
          <w:bCs/>
          <w:spacing w:val="-6"/>
          <w:lang w:eastAsia="zh-CN"/>
        </w:rPr>
      </w:pPr>
      <w:r>
        <w:rPr>
          <w:rFonts w:hint="eastAsia" w:ascii="Times New Roman" w:hAnsi="Times New Roman"/>
          <w:b/>
          <w:bCs/>
          <w:spacing w:val="-6"/>
          <w:lang w:val="en-US" w:eastAsia="zh-CN"/>
        </w:rPr>
        <w:t>审议程序及</w:t>
      </w:r>
      <w:r>
        <w:rPr>
          <w:rFonts w:hint="eastAsia" w:ascii="Times New Roman" w:hAnsi="Times New Roman" w:eastAsia="宋体"/>
          <w:b/>
          <w:bCs/>
          <w:spacing w:val="-6"/>
          <w:lang w:eastAsia="zh-CN"/>
        </w:rPr>
        <w:t>专项意见说明</w:t>
      </w:r>
    </w:p>
    <w:p w14:paraId="1545B632">
      <w:pPr>
        <w:pStyle w:val="3"/>
        <w:spacing w:before="79" w:line="560" w:lineRule="exact"/>
        <w:ind w:left="493"/>
        <w:jc w:val="both"/>
        <w:outlineLvl w:val="1"/>
        <w:rPr>
          <w:rFonts w:hint="eastAsia" w:ascii="Times New Roman" w:hAnsi="Times New Roman" w:eastAsia="宋体"/>
          <w:b/>
          <w:bCs/>
          <w:spacing w:val="-4"/>
          <w:lang w:val="en-US" w:eastAsia="zh-CN"/>
        </w:rPr>
      </w:pPr>
      <w:r>
        <w:rPr>
          <w:rFonts w:hint="eastAsia" w:ascii="Times New Roman" w:hAnsi="Times New Roman" w:eastAsia="宋体"/>
          <w:b/>
          <w:bCs/>
          <w:spacing w:val="-4"/>
          <w:lang w:eastAsia="zh-CN"/>
        </w:rPr>
        <w:t>（一）</w:t>
      </w:r>
      <w:r>
        <w:rPr>
          <w:rFonts w:hint="eastAsia" w:ascii="Times New Roman" w:hAnsi="Times New Roman" w:eastAsia="宋体"/>
          <w:b/>
          <w:bCs/>
          <w:spacing w:val="-4"/>
          <w:lang w:val="en-US" w:eastAsia="zh-CN"/>
        </w:rPr>
        <w:t>董事会审议情况</w:t>
      </w:r>
    </w:p>
    <w:p w14:paraId="5123FF9D">
      <w:pPr>
        <w:pStyle w:val="3"/>
        <w:spacing w:before="179" w:line="560" w:lineRule="exact"/>
        <w:ind w:left="6" w:firstLine="485"/>
        <w:jc w:val="both"/>
        <w:outlineLvl w:val="9"/>
        <w:rPr>
          <w:rFonts w:hint="default" w:ascii="Times New Roman" w:hAnsi="Times New Roman" w:eastAsia="宋体"/>
          <w:b w:val="0"/>
          <w:bCs w:val="0"/>
          <w:spacing w:val="-3"/>
          <w:lang w:val="en-US" w:eastAsia="zh-CN"/>
        </w:rPr>
      </w:pPr>
      <w:r>
        <w:rPr>
          <w:rFonts w:hint="eastAsia" w:ascii="Times New Roman" w:hAnsi="Times New Roman"/>
          <w:b w:val="0"/>
          <w:bCs w:val="0"/>
          <w:spacing w:val="-3"/>
          <w:lang w:val="en-US" w:eastAsia="zh-CN"/>
        </w:rPr>
        <w:t>2024年11月26日公司召开第四届董事会第九次会议和第四届监事会第八次会议，均以全票通过的表决，审议通过了</w:t>
      </w:r>
      <w:r>
        <w:rPr>
          <w:rFonts w:hint="eastAsia" w:ascii="Times New Roman" w:hAnsi="Times New Roman" w:eastAsia="宋体"/>
          <w:spacing w:val="-4"/>
          <w:lang w:eastAsia="zh-CN"/>
        </w:rPr>
        <w:t>《关于部分募投项目结项并将节余募集资金用于其他募投项目</w:t>
      </w:r>
      <w:r>
        <w:rPr>
          <w:rFonts w:hint="eastAsia" w:ascii="Times New Roman" w:hAnsi="Times New Roman"/>
          <w:spacing w:val="-4"/>
          <w:lang w:eastAsia="zh-CN"/>
        </w:rPr>
        <w:t>的</w:t>
      </w:r>
      <w:r>
        <w:rPr>
          <w:rFonts w:hint="eastAsia" w:ascii="Times New Roman" w:hAnsi="Times New Roman" w:eastAsia="宋体"/>
          <w:spacing w:val="-4"/>
          <w:lang w:eastAsia="zh-CN"/>
        </w:rPr>
        <w:t>议案》</w:t>
      </w:r>
      <w:r>
        <w:rPr>
          <w:rFonts w:hint="eastAsia" w:ascii="Times New Roman" w:hAnsi="Times New Roman"/>
          <w:spacing w:val="-4"/>
          <w:lang w:eastAsia="zh-CN"/>
        </w:rPr>
        <w:t>。</w:t>
      </w:r>
    </w:p>
    <w:p w14:paraId="6E69EA77">
      <w:pPr>
        <w:pStyle w:val="3"/>
        <w:spacing w:before="79" w:line="560" w:lineRule="exact"/>
        <w:ind w:left="493"/>
        <w:jc w:val="both"/>
        <w:outlineLvl w:val="1"/>
        <w:rPr>
          <w:rFonts w:ascii="Times New Roman" w:hAnsi="Times New Roman" w:eastAsia="宋体"/>
          <w:lang w:eastAsia="zh-CN"/>
        </w:rPr>
      </w:pPr>
      <w:r>
        <w:rPr>
          <w:rFonts w:hint="eastAsia" w:ascii="Times New Roman" w:hAnsi="Times New Roman" w:eastAsia="宋体"/>
          <w:b/>
          <w:bCs/>
          <w:spacing w:val="-4"/>
          <w:lang w:eastAsia="zh-CN"/>
        </w:rPr>
        <w:t>（</w:t>
      </w:r>
      <w:r>
        <w:rPr>
          <w:rFonts w:hint="eastAsia" w:ascii="Times New Roman" w:hAnsi="Times New Roman" w:eastAsia="宋体"/>
          <w:b/>
          <w:bCs/>
          <w:spacing w:val="-4"/>
          <w:lang w:val="en-US" w:eastAsia="zh-CN"/>
        </w:rPr>
        <w:t>二</w:t>
      </w:r>
      <w:r>
        <w:rPr>
          <w:rFonts w:hint="eastAsia" w:ascii="Times New Roman" w:hAnsi="Times New Roman" w:eastAsia="宋体"/>
          <w:b/>
          <w:bCs/>
          <w:spacing w:val="-4"/>
          <w:lang w:eastAsia="zh-CN"/>
        </w:rPr>
        <w:t>）监事会意见</w:t>
      </w:r>
    </w:p>
    <w:p w14:paraId="3108DE77">
      <w:pPr>
        <w:pStyle w:val="3"/>
        <w:spacing w:before="179" w:line="560" w:lineRule="exact"/>
        <w:ind w:left="6" w:firstLine="485"/>
        <w:jc w:val="both"/>
        <w:rPr>
          <w:rFonts w:ascii="Times New Roman" w:hAnsi="Times New Roman" w:eastAsia="宋体"/>
          <w:lang w:eastAsia="zh-CN"/>
        </w:rPr>
      </w:pPr>
      <w:r>
        <w:rPr>
          <w:rFonts w:hint="eastAsia" w:ascii="Times New Roman" w:hAnsi="Times New Roman" w:eastAsia="宋体"/>
          <w:spacing w:val="-3"/>
          <w:lang w:eastAsia="zh-CN"/>
        </w:rPr>
        <w:t>公司于2</w:t>
      </w:r>
      <w:r>
        <w:rPr>
          <w:rFonts w:hint="eastAsia" w:ascii="Times New Roman" w:hAnsi="Times New Roman" w:eastAsia="宋体" w:cs="宋体"/>
          <w:spacing w:val="-3"/>
          <w:lang w:eastAsia="zh-CN"/>
        </w:rPr>
        <w:t>024年</w:t>
      </w:r>
      <w:r>
        <w:rPr>
          <w:rFonts w:hint="eastAsia" w:ascii="Times New Roman" w:hAnsi="Times New Roman" w:eastAsia="宋体" w:cs="宋体"/>
          <w:spacing w:val="-3"/>
          <w:lang w:val="en-US" w:eastAsia="zh-CN"/>
        </w:rPr>
        <w:t>11</w:t>
      </w:r>
      <w:r>
        <w:rPr>
          <w:rFonts w:hint="eastAsia" w:ascii="Times New Roman" w:hAnsi="Times New Roman" w:eastAsia="宋体" w:cs="宋体"/>
          <w:spacing w:val="-3"/>
          <w:lang w:eastAsia="zh-CN"/>
        </w:rPr>
        <w:t>月2</w:t>
      </w:r>
      <w:r>
        <w:rPr>
          <w:rFonts w:hint="eastAsia" w:ascii="Times New Roman" w:hAnsi="Times New Roman" w:eastAsia="宋体" w:cs="宋体"/>
          <w:spacing w:val="-3"/>
          <w:lang w:val="en-US" w:eastAsia="zh-CN"/>
        </w:rPr>
        <w:t>6</w:t>
      </w:r>
      <w:r>
        <w:rPr>
          <w:rFonts w:hint="eastAsia" w:ascii="Times New Roman" w:hAnsi="Times New Roman" w:eastAsia="宋体" w:cs="宋体"/>
          <w:spacing w:val="-3"/>
          <w:lang w:eastAsia="zh-CN"/>
        </w:rPr>
        <w:t>日召开第四届监事会</w:t>
      </w:r>
      <w:r>
        <w:rPr>
          <w:rFonts w:hint="eastAsia" w:ascii="Times New Roman" w:hAnsi="Times New Roman" w:eastAsia="宋体"/>
          <w:spacing w:val="-3"/>
          <w:lang w:eastAsia="zh-CN"/>
        </w:rPr>
        <w:t>第</w:t>
      </w:r>
      <w:r>
        <w:rPr>
          <w:rFonts w:hint="eastAsia" w:ascii="Times New Roman" w:hAnsi="Times New Roman"/>
          <w:spacing w:val="-3"/>
          <w:lang w:val="en-US" w:eastAsia="zh-CN"/>
        </w:rPr>
        <w:t>八</w:t>
      </w:r>
      <w:r>
        <w:rPr>
          <w:rFonts w:hint="eastAsia" w:ascii="Times New Roman" w:hAnsi="Times New Roman" w:eastAsia="宋体"/>
          <w:spacing w:val="-3"/>
          <w:lang w:eastAsia="zh-CN"/>
        </w:rPr>
        <w:t>次会议，审议通过了《</w:t>
      </w:r>
      <w:r>
        <w:rPr>
          <w:rFonts w:hint="eastAsia" w:ascii="Times New Roman" w:hAnsi="Times New Roman"/>
          <w:spacing w:val="-3"/>
          <w:lang w:eastAsia="zh-CN"/>
        </w:rPr>
        <w:t>关于部分募投项目结项并将节余</w:t>
      </w:r>
      <w:r>
        <w:rPr>
          <w:rFonts w:hint="eastAsia" w:ascii="Times New Roman" w:hAnsi="Times New Roman"/>
          <w:spacing w:val="-3"/>
          <w:lang w:val="en-US" w:eastAsia="zh-CN"/>
        </w:rPr>
        <w:t>募集</w:t>
      </w:r>
      <w:r>
        <w:rPr>
          <w:rFonts w:hint="eastAsia" w:ascii="Times New Roman" w:hAnsi="Times New Roman"/>
          <w:spacing w:val="-3"/>
          <w:lang w:eastAsia="zh-CN"/>
        </w:rPr>
        <w:t>资金用于其他募投项</w:t>
      </w:r>
      <w:r>
        <w:rPr>
          <w:rFonts w:hint="eastAsia" w:ascii="Times New Roman" w:hAnsi="Times New Roman"/>
          <w:spacing w:val="-4"/>
          <w:lang w:eastAsia="zh-CN"/>
        </w:rPr>
        <w:t>目的议案</w:t>
      </w:r>
      <w:r>
        <w:rPr>
          <w:rFonts w:hint="eastAsia" w:ascii="Times New Roman" w:hAnsi="Times New Roman" w:eastAsia="宋体"/>
          <w:spacing w:val="-4"/>
          <w:lang w:eastAsia="zh-CN"/>
        </w:rPr>
        <w:t>》，全体监事一致认为</w:t>
      </w:r>
      <w:r>
        <w:rPr>
          <w:rFonts w:hint="eastAsia" w:ascii="Times New Roman" w:hAnsi="Times New Roman" w:eastAsia="宋体"/>
          <w:spacing w:val="-5"/>
          <w:lang w:eastAsia="zh-CN"/>
        </w:rPr>
        <w:t>：公</w:t>
      </w:r>
      <w:r>
        <w:rPr>
          <w:rFonts w:hint="eastAsia" w:ascii="Times New Roman" w:hAnsi="Times New Roman" w:eastAsia="宋体"/>
          <w:spacing w:val="-3"/>
          <w:lang w:eastAsia="zh-CN"/>
        </w:rPr>
        <w:t>司“智能成套电气设备产业基地建设项目”“110kV及以下节能型变压器智能化工厂技改项目”和“研发中心及信息化建设项目”已完成建设并达到</w:t>
      </w:r>
      <w:r>
        <w:rPr>
          <w:rFonts w:hint="eastAsia" w:ascii="Times New Roman" w:hAnsi="Times New Roman" w:eastAsia="宋体"/>
          <w:spacing w:val="-3"/>
          <w:lang w:val="en-US" w:eastAsia="zh-CN"/>
        </w:rPr>
        <w:t>预定</w:t>
      </w:r>
      <w:r>
        <w:rPr>
          <w:rFonts w:hint="eastAsia" w:ascii="Times New Roman" w:hAnsi="Times New Roman" w:eastAsia="宋体"/>
          <w:spacing w:val="-3"/>
          <w:lang w:eastAsia="zh-CN"/>
        </w:rPr>
        <w:t>可使用状态，同意将上述项目</w:t>
      </w:r>
      <w:r>
        <w:rPr>
          <w:rFonts w:hint="eastAsia" w:ascii="Times New Roman" w:hAnsi="Times New Roman" w:eastAsia="宋体"/>
          <w:spacing w:val="-4"/>
          <w:lang w:eastAsia="zh-CN"/>
        </w:rPr>
        <w:t>结项，并将节余募集资金</w:t>
      </w:r>
      <w:r>
        <w:rPr>
          <w:rFonts w:hint="eastAsia" w:ascii="Times New Roman" w:hAnsi="Times New Roman" w:eastAsia="宋体"/>
          <w:spacing w:val="2"/>
          <w:lang w:eastAsia="zh-CN"/>
        </w:rPr>
        <w:t>用于“智控设备及金属制品智能工厂建设项目（一期）”。本次变更是</w:t>
      </w:r>
      <w:r>
        <w:rPr>
          <w:rFonts w:hint="eastAsia" w:ascii="Times New Roman" w:hAnsi="Times New Roman" w:eastAsia="宋体" w:cs="宋体"/>
          <w:spacing w:val="-3"/>
          <w:sz w:val="24"/>
          <w:szCs w:val="24"/>
          <w:lang w:val="en-US" w:eastAsia="zh-CN"/>
        </w:rPr>
        <w:t>根据募投项目的实施情况做出的慎重决定，符合公司经营的实际情况，有利于合理优化资源配置，提高募集资金的使用效率</w:t>
      </w:r>
      <w:r>
        <w:rPr>
          <w:rFonts w:hint="eastAsia" w:ascii="Times New Roman" w:hAnsi="Times New Roman" w:eastAsia="宋体"/>
          <w:shd w:val="clear" w:color="auto" w:fill="FFFFFF"/>
          <w:lang w:eastAsia="zh-CN"/>
        </w:rPr>
        <w:t>，符合公司的长期发展规划及全体股东的长远利益，</w:t>
      </w:r>
      <w:r>
        <w:rPr>
          <w:rFonts w:hint="eastAsia" w:ascii="Times New Roman" w:hAnsi="Times New Roman" w:eastAsia="宋体" w:cstheme="majorEastAsia"/>
          <w:spacing w:val="-3"/>
          <w:lang w:eastAsia="zh-CN"/>
        </w:rPr>
        <w:t>不存在损害</w:t>
      </w:r>
      <w:r>
        <w:rPr>
          <w:rFonts w:hint="eastAsia" w:ascii="Times New Roman" w:hAnsi="Times New Roman" w:eastAsia="宋体" w:cstheme="majorEastAsia"/>
          <w:spacing w:val="-3"/>
          <w:sz w:val="24"/>
          <w:szCs w:val="24"/>
          <w:lang w:val="en-US" w:eastAsia="zh-CN"/>
        </w:rPr>
        <w:t>公司及</w:t>
      </w:r>
      <w:r>
        <w:rPr>
          <w:rFonts w:hint="eastAsia" w:ascii="Times New Roman" w:hAnsi="Times New Roman" w:eastAsia="宋体" w:cstheme="majorEastAsia"/>
          <w:spacing w:val="-3"/>
          <w:lang w:eastAsia="zh-CN"/>
        </w:rPr>
        <w:t>股东利益的情形</w:t>
      </w:r>
      <w:r>
        <w:rPr>
          <w:rFonts w:hint="eastAsia" w:ascii="Times New Roman" w:hAnsi="Times New Roman" w:eastAsia="宋体"/>
          <w:spacing w:val="1"/>
          <w:lang w:eastAsia="zh-CN"/>
        </w:rPr>
        <w:t>。</w:t>
      </w:r>
      <w:r>
        <w:rPr>
          <w:rFonts w:hint="eastAsia" w:ascii="Times New Roman" w:hAnsi="Times New Roman" w:eastAsia="宋体"/>
          <w:spacing w:val="-2"/>
          <w:lang w:eastAsia="zh-CN"/>
        </w:rPr>
        <w:t>该事项符合中国证监会、上海证券交易所关于上市公司募集资金管理的有关规定。</w:t>
      </w:r>
    </w:p>
    <w:p w14:paraId="5002194F">
      <w:pPr>
        <w:pStyle w:val="3"/>
        <w:spacing w:before="47" w:line="560" w:lineRule="exact"/>
        <w:ind w:left="481"/>
        <w:jc w:val="both"/>
        <w:rPr>
          <w:rFonts w:ascii="Times New Roman" w:hAnsi="Times New Roman" w:eastAsia="宋体"/>
          <w:highlight w:val="none"/>
          <w:lang w:eastAsia="zh-CN"/>
        </w:rPr>
      </w:pPr>
      <w:r>
        <w:rPr>
          <w:rFonts w:hint="eastAsia" w:ascii="Times New Roman" w:hAnsi="Times New Roman" w:eastAsia="宋体"/>
          <w:spacing w:val="-3"/>
          <w:highlight w:val="none"/>
          <w:lang w:eastAsia="zh-CN"/>
        </w:rPr>
        <w:t>本议案</w:t>
      </w:r>
      <w:r>
        <w:rPr>
          <w:rFonts w:hint="eastAsia" w:ascii="Times New Roman" w:hAnsi="Times New Roman" w:eastAsia="宋体"/>
          <w:spacing w:val="-3"/>
          <w:highlight w:val="none"/>
          <w:lang w:val="en-US" w:eastAsia="zh-CN"/>
        </w:rPr>
        <w:t>无</w:t>
      </w:r>
      <w:r>
        <w:rPr>
          <w:rFonts w:hint="eastAsia" w:ascii="Times New Roman" w:hAnsi="Times New Roman" w:eastAsia="宋体"/>
          <w:spacing w:val="-3"/>
          <w:highlight w:val="none"/>
          <w:lang w:eastAsia="zh-CN"/>
        </w:rPr>
        <w:t>需提交公司股东会审议批准。</w:t>
      </w:r>
    </w:p>
    <w:p w14:paraId="1D410004">
      <w:pPr>
        <w:pStyle w:val="3"/>
        <w:spacing w:before="78" w:line="560" w:lineRule="exact"/>
        <w:ind w:left="489"/>
        <w:jc w:val="both"/>
        <w:outlineLvl w:val="1"/>
        <w:rPr>
          <w:rFonts w:ascii="Times New Roman" w:hAnsi="Times New Roman" w:eastAsia="宋体"/>
          <w:lang w:eastAsia="zh-CN"/>
        </w:rPr>
      </w:pPr>
      <w:r>
        <w:rPr>
          <w:rFonts w:hint="eastAsia" w:ascii="Times New Roman" w:hAnsi="Times New Roman" w:eastAsia="宋体"/>
          <w:b/>
          <w:bCs/>
          <w:spacing w:val="-3"/>
          <w:lang w:eastAsia="zh-CN"/>
        </w:rPr>
        <w:t>（</w:t>
      </w:r>
      <w:r>
        <w:rPr>
          <w:rFonts w:hint="eastAsia" w:ascii="Times New Roman" w:hAnsi="Times New Roman" w:eastAsia="宋体"/>
          <w:b/>
          <w:bCs/>
          <w:spacing w:val="-3"/>
          <w:lang w:val="en-US" w:eastAsia="zh-CN"/>
        </w:rPr>
        <w:t>三</w:t>
      </w:r>
      <w:r>
        <w:rPr>
          <w:rFonts w:hint="eastAsia" w:ascii="Times New Roman" w:hAnsi="Times New Roman" w:eastAsia="宋体"/>
          <w:b/>
          <w:bCs/>
          <w:spacing w:val="-3"/>
          <w:lang w:eastAsia="zh-CN"/>
        </w:rPr>
        <w:t>）保荐人的核查意见</w:t>
      </w:r>
    </w:p>
    <w:p w14:paraId="21604D57">
      <w:pPr>
        <w:pStyle w:val="3"/>
        <w:spacing w:before="179" w:line="560" w:lineRule="exact"/>
        <w:ind w:left="6" w:firstLine="485"/>
        <w:jc w:val="both"/>
        <w:rPr>
          <w:rFonts w:hint="eastAsia" w:ascii="Times New Roman" w:hAnsi="Times New Roman" w:eastAsia="宋体" w:cs="宋体"/>
          <w:spacing w:val="-3"/>
          <w:sz w:val="24"/>
          <w:szCs w:val="24"/>
          <w:lang w:eastAsia="zh-CN"/>
        </w:rPr>
      </w:pPr>
      <w:r>
        <w:rPr>
          <w:rFonts w:hint="eastAsia" w:ascii="Times New Roman" w:hAnsi="Times New Roman" w:eastAsia="宋体" w:cs="宋体"/>
          <w:spacing w:val="-3"/>
          <w:sz w:val="24"/>
          <w:szCs w:val="24"/>
          <w:lang w:eastAsia="zh-CN"/>
        </w:rPr>
        <w:t>经核查，保荐人认为：</w:t>
      </w:r>
    </w:p>
    <w:p w14:paraId="12597BAF">
      <w:pPr>
        <w:pStyle w:val="3"/>
        <w:spacing w:before="179" w:line="560" w:lineRule="exact"/>
        <w:ind w:left="6" w:firstLine="485"/>
        <w:jc w:val="both"/>
        <w:rPr>
          <w:rFonts w:hint="eastAsia" w:ascii="Times New Roman" w:hAnsi="Times New Roman" w:eastAsia="宋体" w:cs="宋体"/>
          <w:spacing w:val="-3"/>
          <w:sz w:val="24"/>
          <w:szCs w:val="24"/>
          <w:lang w:eastAsia="zh-CN"/>
        </w:rPr>
      </w:pPr>
      <w:r>
        <w:rPr>
          <w:rFonts w:hint="eastAsia" w:ascii="Times New Roman" w:hAnsi="Times New Roman" w:eastAsia="宋体" w:cs="宋体"/>
          <w:spacing w:val="-3"/>
          <w:sz w:val="24"/>
          <w:szCs w:val="24"/>
          <w:lang w:eastAsia="zh-CN"/>
        </w:rPr>
        <w:t>公司本次部分募投项目结项并将节余募集资金用于其他募投项目的</w:t>
      </w:r>
      <w:r>
        <w:rPr>
          <w:rFonts w:hint="eastAsia" w:ascii="Times New Roman" w:hAnsi="Times New Roman" w:eastAsia="宋体" w:cs="宋体"/>
          <w:spacing w:val="-3"/>
          <w:sz w:val="24"/>
          <w:szCs w:val="24"/>
          <w:lang w:val="en-US" w:eastAsia="zh-CN"/>
        </w:rPr>
        <w:t>事项</w:t>
      </w:r>
      <w:r>
        <w:rPr>
          <w:rFonts w:hint="eastAsia" w:ascii="Times New Roman" w:hAnsi="Times New Roman" w:eastAsia="宋体" w:cs="宋体"/>
          <w:spacing w:val="-3"/>
          <w:sz w:val="24"/>
          <w:szCs w:val="24"/>
          <w:lang w:eastAsia="zh-CN"/>
        </w:rPr>
        <w:t>已经公司董事会、监事会审议通过，履行了必要的审批程序。</w:t>
      </w:r>
      <w:r>
        <w:rPr>
          <w:rFonts w:hint="eastAsia" w:ascii="Times New Roman" w:hAnsi="Times New Roman" w:eastAsia="宋体" w:cs="宋体"/>
          <w:spacing w:val="-3"/>
          <w:sz w:val="24"/>
          <w:szCs w:val="24"/>
          <w:lang w:val="en-US" w:eastAsia="zh-CN"/>
        </w:rPr>
        <w:t>本次事项</w:t>
      </w:r>
      <w:r>
        <w:rPr>
          <w:rFonts w:hint="eastAsia" w:ascii="Times New Roman" w:hAnsi="Times New Roman" w:eastAsia="宋体" w:cs="宋体"/>
          <w:spacing w:val="-3"/>
          <w:sz w:val="24"/>
          <w:szCs w:val="24"/>
          <w:lang w:eastAsia="zh-CN"/>
        </w:rPr>
        <w:t>不存在损害公司及股东利益的情形，符合</w:t>
      </w:r>
      <w:r>
        <w:rPr>
          <w:rFonts w:hint="eastAsia" w:ascii="Times New Roman" w:hAnsi="Times New Roman" w:eastAsia="宋体" w:cs="宋体"/>
          <w:sz w:val="24"/>
          <w:szCs w:val="32"/>
        </w:rPr>
        <w:t>《上海证券交易所上市公司自律监管指引第</w:t>
      </w:r>
      <w:r>
        <w:rPr>
          <w:rFonts w:hint="eastAsia" w:ascii="Times New Roman" w:hAnsi="Times New Roman" w:eastAsia="宋体" w:cs="宋体"/>
          <w:sz w:val="24"/>
          <w:szCs w:val="32"/>
          <w:lang w:val="en-US" w:eastAsia="zh-CN"/>
        </w:rPr>
        <w:t>1</w:t>
      </w:r>
      <w:r>
        <w:rPr>
          <w:rFonts w:hint="eastAsia" w:ascii="Times New Roman" w:hAnsi="Times New Roman" w:eastAsia="宋体" w:cs="宋体"/>
          <w:sz w:val="24"/>
          <w:szCs w:val="32"/>
        </w:rPr>
        <w:t>号——规范运作》</w:t>
      </w:r>
      <w:r>
        <w:rPr>
          <w:rFonts w:hint="eastAsia" w:ascii="Times New Roman" w:hAnsi="Times New Roman" w:eastAsia="宋体" w:cs="宋体"/>
          <w:spacing w:val="-3"/>
          <w:sz w:val="24"/>
          <w:szCs w:val="24"/>
          <w:lang w:eastAsia="zh-CN"/>
        </w:rPr>
        <w:t>《上市公司监管指引第2号——上市公司募集资金管理和使用的监管要求》《上海证券交易所股票上市规则（2024年4月修订）》《上海证券交易所上市公司自律监管指引第11号——持续督导》</w:t>
      </w:r>
      <w:r>
        <w:rPr>
          <w:rFonts w:hint="eastAsia" w:ascii="Times New Roman" w:hAnsi="Times New Roman" w:eastAsia="宋体" w:cs="宋体"/>
          <w:spacing w:val="-3"/>
          <w:sz w:val="24"/>
          <w:szCs w:val="24"/>
          <w:lang w:val="en-US" w:eastAsia="zh-CN"/>
        </w:rPr>
        <w:t>及</w:t>
      </w:r>
      <w:r>
        <w:rPr>
          <w:rFonts w:hint="eastAsia" w:ascii="Times New Roman" w:hAnsi="Times New Roman" w:eastAsia="宋体" w:cs="宋体"/>
          <w:spacing w:val="-3"/>
          <w:sz w:val="24"/>
          <w:szCs w:val="24"/>
          <w:lang w:eastAsia="zh-CN"/>
        </w:rPr>
        <w:t>《公司募集资金管理制度》等相关规定。</w:t>
      </w:r>
    </w:p>
    <w:p w14:paraId="0D85D680">
      <w:pPr>
        <w:pStyle w:val="3"/>
        <w:numPr>
          <w:ilvl w:val="-1"/>
          <w:numId w:val="0"/>
        </w:numPr>
        <w:spacing w:before="179" w:line="560" w:lineRule="exact"/>
        <w:ind w:left="6" w:firstLine="485"/>
        <w:jc w:val="both"/>
        <w:outlineLvl w:val="9"/>
        <w:rPr>
          <w:rFonts w:hint="eastAsia" w:ascii="Times New Roman" w:hAnsi="Times New Roman" w:eastAsia="宋体"/>
          <w:b w:val="0"/>
          <w:bCs w:val="0"/>
          <w:spacing w:val="-3"/>
          <w:lang w:eastAsia="zh-CN"/>
        </w:rPr>
      </w:pPr>
      <w:r>
        <w:rPr>
          <w:rFonts w:hint="eastAsia" w:ascii="Times New Roman" w:hAnsi="Times New Roman" w:eastAsia="宋体" w:cs="宋体"/>
          <w:spacing w:val="-3"/>
          <w:sz w:val="24"/>
          <w:szCs w:val="24"/>
          <w:lang w:eastAsia="zh-CN"/>
        </w:rPr>
        <w:t>综上，</w:t>
      </w:r>
      <w:r>
        <w:rPr>
          <w:rFonts w:hint="eastAsia" w:ascii="Times New Roman" w:hAnsi="Times New Roman" w:eastAsia="宋体" w:cs="宋体"/>
          <w:spacing w:val="-3"/>
          <w:sz w:val="24"/>
          <w:szCs w:val="24"/>
          <w:lang w:val="en-US" w:eastAsia="zh-CN"/>
        </w:rPr>
        <w:t>保荐人对</w:t>
      </w:r>
      <w:r>
        <w:rPr>
          <w:rFonts w:hint="eastAsia" w:ascii="Times New Roman" w:hAnsi="Times New Roman" w:eastAsia="宋体" w:cs="宋体"/>
          <w:spacing w:val="-3"/>
          <w:sz w:val="24"/>
          <w:szCs w:val="24"/>
          <w:lang w:eastAsia="zh-CN"/>
        </w:rPr>
        <w:t>公司本次部分募投项目结项并将节余募集资金用于其他募投项目的事项无异议。</w:t>
      </w:r>
    </w:p>
    <w:p w14:paraId="2DF09F82">
      <w:pPr>
        <w:pStyle w:val="3"/>
        <w:spacing w:before="79" w:line="560" w:lineRule="exact"/>
        <w:jc w:val="both"/>
        <w:rPr>
          <w:rFonts w:ascii="Times New Roman" w:hAnsi="Times New Roman" w:eastAsia="宋体"/>
          <w:spacing w:val="-6"/>
          <w:lang w:eastAsia="zh-CN"/>
        </w:rPr>
      </w:pPr>
    </w:p>
    <w:p w14:paraId="032402F1">
      <w:pPr>
        <w:pStyle w:val="3"/>
        <w:spacing w:before="121" w:line="218" w:lineRule="auto"/>
        <w:ind w:left="405"/>
        <w:rPr>
          <w:rFonts w:ascii="Times New Roman" w:hAnsi="Times New Roman" w:eastAsia="宋体"/>
          <w:lang w:eastAsia="zh-CN"/>
        </w:rPr>
      </w:pPr>
      <w:r>
        <w:rPr>
          <w:rFonts w:ascii="Times New Roman" w:hAnsi="Times New Roman" w:eastAsia="宋体"/>
          <w:spacing w:val="-8"/>
          <w:lang w:eastAsia="zh-CN"/>
        </w:rPr>
        <w:t>特此公告。</w:t>
      </w:r>
    </w:p>
    <w:p w14:paraId="17917A52">
      <w:pPr>
        <w:spacing w:line="300" w:lineRule="auto"/>
        <w:rPr>
          <w:rFonts w:ascii="Times New Roman" w:hAnsi="Times New Roman" w:eastAsia="宋体"/>
          <w:lang w:eastAsia="zh-CN"/>
        </w:rPr>
      </w:pPr>
    </w:p>
    <w:p w14:paraId="430E5A0F">
      <w:pPr>
        <w:spacing w:line="301" w:lineRule="auto"/>
        <w:rPr>
          <w:rFonts w:ascii="Times New Roman" w:hAnsi="Times New Roman" w:eastAsia="宋体"/>
          <w:lang w:eastAsia="zh-CN"/>
        </w:rPr>
      </w:pPr>
    </w:p>
    <w:p w14:paraId="18A1B9C2">
      <w:pPr>
        <w:spacing w:line="301" w:lineRule="auto"/>
        <w:rPr>
          <w:rFonts w:ascii="Times New Roman" w:hAnsi="Times New Roman" w:eastAsia="宋体"/>
          <w:lang w:eastAsia="zh-CN"/>
        </w:rPr>
      </w:pPr>
    </w:p>
    <w:p w14:paraId="4FA63372">
      <w:pPr>
        <w:pStyle w:val="3"/>
        <w:spacing w:before="78" w:line="347" w:lineRule="auto"/>
        <w:ind w:left="5623" w:hanging="1751"/>
        <w:jc w:val="right"/>
        <w:rPr>
          <w:rFonts w:ascii="Times New Roman" w:hAnsi="Times New Roman" w:eastAsia="宋体"/>
          <w:lang w:eastAsia="zh-CN"/>
        </w:rPr>
      </w:pPr>
      <w:r>
        <w:rPr>
          <w:rFonts w:hint="eastAsia" w:ascii="Times New Roman" w:hAnsi="Times New Roman" w:eastAsia="宋体"/>
          <w:spacing w:val="-1"/>
          <w:lang w:eastAsia="zh-CN"/>
        </w:rPr>
        <w:t>重庆望变电气（集团）</w:t>
      </w:r>
      <w:r>
        <w:rPr>
          <w:rFonts w:ascii="Times New Roman" w:hAnsi="Times New Roman" w:eastAsia="宋体"/>
          <w:spacing w:val="-1"/>
          <w:lang w:eastAsia="zh-CN"/>
        </w:rPr>
        <w:t>股份有限公司董事会</w:t>
      </w:r>
      <w:r>
        <w:rPr>
          <w:rFonts w:ascii="Times New Roman" w:hAnsi="Times New Roman" w:eastAsia="宋体"/>
          <w:spacing w:val="8"/>
          <w:lang w:eastAsia="zh-CN"/>
        </w:rPr>
        <w:t xml:space="preserve"> </w:t>
      </w:r>
      <w:r>
        <w:rPr>
          <w:rFonts w:ascii="Times New Roman" w:hAnsi="Times New Roman" w:eastAsia="宋体" w:cs="Times New Roman"/>
          <w:spacing w:val="-4"/>
          <w:lang w:eastAsia="zh-CN"/>
        </w:rPr>
        <w:t>202</w:t>
      </w:r>
      <w:r>
        <w:rPr>
          <w:rFonts w:hint="eastAsia" w:ascii="Times New Roman" w:hAnsi="Times New Roman" w:eastAsia="宋体" w:cs="Times New Roman"/>
          <w:spacing w:val="-4"/>
          <w:lang w:eastAsia="zh-CN"/>
        </w:rPr>
        <w:t>4</w:t>
      </w:r>
      <w:r>
        <w:rPr>
          <w:rFonts w:ascii="Times New Roman" w:hAnsi="Times New Roman" w:eastAsia="宋体"/>
          <w:spacing w:val="-4"/>
          <w:lang w:eastAsia="zh-CN"/>
        </w:rPr>
        <w:t>年</w:t>
      </w:r>
      <w:r>
        <w:rPr>
          <w:rFonts w:hint="eastAsia" w:ascii="Times New Roman" w:hAnsi="Times New Roman" w:cs="Times New Roman"/>
          <w:spacing w:val="-4"/>
          <w:lang w:val="en-US" w:eastAsia="zh-CN"/>
        </w:rPr>
        <w:t>11</w:t>
      </w:r>
      <w:r>
        <w:rPr>
          <w:rFonts w:ascii="Times New Roman" w:hAnsi="Times New Roman" w:eastAsia="宋体"/>
          <w:spacing w:val="-4"/>
          <w:lang w:eastAsia="zh-CN"/>
        </w:rPr>
        <w:t>月</w:t>
      </w:r>
      <w:r>
        <w:rPr>
          <w:rFonts w:hint="eastAsia" w:ascii="Times New Roman" w:hAnsi="Times New Roman" w:cs="Times New Roman"/>
          <w:spacing w:val="-4"/>
          <w:lang w:val="en-US" w:eastAsia="zh-CN"/>
        </w:rPr>
        <w:t>28</w:t>
      </w:r>
      <w:r>
        <w:rPr>
          <w:rFonts w:ascii="Times New Roman" w:hAnsi="Times New Roman" w:eastAsia="宋体"/>
          <w:spacing w:val="-4"/>
          <w:lang w:eastAsia="zh-CN"/>
        </w:rPr>
        <w:t>日</w:t>
      </w:r>
    </w:p>
    <w:sectPr>
      <w:footerReference r:id="rId3" w:type="default"/>
      <w:pgSz w:w="11907" w:h="16839"/>
      <w:pgMar w:top="1431" w:right="1697" w:bottom="1362" w:left="1785"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CE">
    <w:pPr>
      <w:spacing w:line="174"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94105"/>
    <w:multiLevelType w:val="singleLevel"/>
    <w:tmpl w:val="530941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dkMTYzODhjYTIzN2VlNWE1ZmU0YTU0NTgxMDI4MDMifQ=="/>
  </w:docVars>
  <w:rsids>
    <w:rsidRoot w:val="001838A4"/>
    <w:rsid w:val="00045696"/>
    <w:rsid w:val="00160E9E"/>
    <w:rsid w:val="001838A4"/>
    <w:rsid w:val="001D2B56"/>
    <w:rsid w:val="002105F3"/>
    <w:rsid w:val="002757CF"/>
    <w:rsid w:val="002B1971"/>
    <w:rsid w:val="00300D92"/>
    <w:rsid w:val="00333119"/>
    <w:rsid w:val="003378A0"/>
    <w:rsid w:val="003739D3"/>
    <w:rsid w:val="003766EB"/>
    <w:rsid w:val="00524007"/>
    <w:rsid w:val="0056786A"/>
    <w:rsid w:val="00585CB9"/>
    <w:rsid w:val="00606111"/>
    <w:rsid w:val="00702176"/>
    <w:rsid w:val="00710ECA"/>
    <w:rsid w:val="00882FDD"/>
    <w:rsid w:val="00897DD0"/>
    <w:rsid w:val="008C255C"/>
    <w:rsid w:val="009B344D"/>
    <w:rsid w:val="009E5BA5"/>
    <w:rsid w:val="009F72EB"/>
    <w:rsid w:val="00A24B64"/>
    <w:rsid w:val="00A416B9"/>
    <w:rsid w:val="00A971EE"/>
    <w:rsid w:val="00AB7AE4"/>
    <w:rsid w:val="00B11F87"/>
    <w:rsid w:val="00B7718B"/>
    <w:rsid w:val="00C60818"/>
    <w:rsid w:val="00CC3997"/>
    <w:rsid w:val="00D02504"/>
    <w:rsid w:val="00D02964"/>
    <w:rsid w:val="00D3275A"/>
    <w:rsid w:val="00D45695"/>
    <w:rsid w:val="00DA0712"/>
    <w:rsid w:val="00DF514E"/>
    <w:rsid w:val="00E3426B"/>
    <w:rsid w:val="00E60282"/>
    <w:rsid w:val="00F5233C"/>
    <w:rsid w:val="00FC707C"/>
    <w:rsid w:val="017C298E"/>
    <w:rsid w:val="04366DFD"/>
    <w:rsid w:val="0AEC0F3F"/>
    <w:rsid w:val="0B2A1B5A"/>
    <w:rsid w:val="0CA75775"/>
    <w:rsid w:val="140E0BA8"/>
    <w:rsid w:val="158C1142"/>
    <w:rsid w:val="15D203B4"/>
    <w:rsid w:val="1CDF0421"/>
    <w:rsid w:val="1D8E097E"/>
    <w:rsid w:val="28F656B0"/>
    <w:rsid w:val="29BA5265"/>
    <w:rsid w:val="2CB04383"/>
    <w:rsid w:val="2EC026B6"/>
    <w:rsid w:val="34F6143D"/>
    <w:rsid w:val="3C758840"/>
    <w:rsid w:val="3CC66409"/>
    <w:rsid w:val="3F2759D7"/>
    <w:rsid w:val="40FD40AA"/>
    <w:rsid w:val="45657310"/>
    <w:rsid w:val="4C58659F"/>
    <w:rsid w:val="4EED0C6F"/>
    <w:rsid w:val="4F7FF378"/>
    <w:rsid w:val="506A2AFE"/>
    <w:rsid w:val="50B97189"/>
    <w:rsid w:val="51DB4853"/>
    <w:rsid w:val="57BE554C"/>
    <w:rsid w:val="594967C7"/>
    <w:rsid w:val="5A2F2D66"/>
    <w:rsid w:val="5E5A0CE3"/>
    <w:rsid w:val="606F72DB"/>
    <w:rsid w:val="647179EE"/>
    <w:rsid w:val="68F41B10"/>
    <w:rsid w:val="69511780"/>
    <w:rsid w:val="6BC73521"/>
    <w:rsid w:val="6C93727D"/>
    <w:rsid w:val="6DC63559"/>
    <w:rsid w:val="6E7F9F09"/>
    <w:rsid w:val="76AE7ECC"/>
    <w:rsid w:val="78C449E6"/>
    <w:rsid w:val="7CBB59AC"/>
    <w:rsid w:val="7D4C3B3B"/>
    <w:rsid w:val="7EF93E95"/>
    <w:rsid w:val="7F7EDD64"/>
    <w:rsid w:val="7FF6ABEC"/>
    <w:rsid w:val="BEB944C8"/>
    <w:rsid w:val="CF3E7201"/>
    <w:rsid w:val="E5B83F47"/>
    <w:rsid w:val="EB3EE205"/>
    <w:rsid w:val="ED9F429B"/>
    <w:rsid w:val="F3FA6EAC"/>
    <w:rsid w:val="F7FF6278"/>
    <w:rsid w:val="FAEABB41"/>
    <w:rsid w:val="FAF6E81C"/>
    <w:rsid w:val="FB5BE357"/>
    <w:rsid w:val="FF176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semiHidden/>
    <w:qFormat/>
    <w:uiPriority w:val="0"/>
    <w:rPr>
      <w:rFonts w:ascii="宋体" w:hAnsi="宋体" w:eastAsia="宋体" w:cs="宋体"/>
      <w:sz w:val="24"/>
      <w:szCs w:val="24"/>
    </w:rPr>
  </w:style>
  <w:style w:type="paragraph" w:styleId="4">
    <w:name w:val="footer"/>
    <w:basedOn w:val="1"/>
    <w:link w:val="18"/>
    <w:qFormat/>
    <w:uiPriority w:val="0"/>
    <w:pPr>
      <w:tabs>
        <w:tab w:val="center" w:pos="4153"/>
        <w:tab w:val="right" w:pos="8306"/>
      </w:tabs>
    </w:pPr>
    <w:rPr>
      <w:sz w:val="18"/>
      <w:szCs w:val="18"/>
    </w:rPr>
  </w:style>
  <w:style w:type="paragraph" w:styleId="5">
    <w:name w:val="header"/>
    <w:basedOn w:val="1"/>
    <w:link w:val="17"/>
    <w:qFormat/>
    <w:uiPriority w:val="0"/>
    <w:pPr>
      <w:tabs>
        <w:tab w:val="center" w:pos="4153"/>
        <w:tab w:val="right" w:pos="8306"/>
      </w:tabs>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rPr>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9"/>
    <w:link w:val="2"/>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6"/>
    <w:qFormat/>
    <w:uiPriority w:val="0"/>
    <w:rPr>
      <w:rFonts w:ascii="Arial" w:hAnsi="Arial" w:eastAsia="Arial" w:cs="Arial"/>
      <w:b/>
      <w:bCs/>
      <w:snapToGrid w:val="0"/>
      <w:color w:val="000000"/>
      <w:sz w:val="21"/>
      <w:szCs w:val="21"/>
      <w:lang w:eastAsia="en-US"/>
    </w:rPr>
  </w:style>
  <w:style w:type="character" w:customStyle="1" w:styleId="17">
    <w:name w:val="页眉 字符"/>
    <w:basedOn w:val="9"/>
    <w:link w:val="5"/>
    <w:qFormat/>
    <w:uiPriority w:val="0"/>
    <w:rPr>
      <w:rFonts w:ascii="Arial" w:hAnsi="Arial" w:eastAsia="Arial" w:cs="Arial"/>
      <w:snapToGrid w:val="0"/>
      <w:color w:val="000000"/>
      <w:sz w:val="18"/>
      <w:szCs w:val="18"/>
      <w:lang w:eastAsia="en-US"/>
    </w:rPr>
  </w:style>
  <w:style w:type="character" w:customStyle="1" w:styleId="18">
    <w:name w:val="页脚 字符"/>
    <w:basedOn w:val="9"/>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4253</Words>
  <Characters>4849</Characters>
  <Lines>32</Lines>
  <Paragraphs>9</Paragraphs>
  <TotalTime>0</TotalTime>
  <ScaleCrop>false</ScaleCrop>
  <LinksUpToDate>false</LinksUpToDate>
  <CharactersWithSpaces>4926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2022-04-10T10:07:00Z</dcterms:created>
  <dc:creator>作者</dc:creator>
  <cp:lastModifiedBy>雯亦</cp:lastModifiedBy>
  <dcterms:modified xsi:type="dcterms:W3CDTF">2024-11-27T09:48:46Z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2024-08-17T15:08:22Z</vt:filetime>
  </property>
  <property fmtid="{D5CDD505-2E9C-101B-9397-08002B2CF9AE}" pid="4" name="KSOProductBuildVer">
    <vt:lpwstr>2052-12.1.0.18912</vt:lpwstr>
  </property>
  <property fmtid="{D5CDD505-2E9C-101B-9397-08002B2CF9AE}" pid="5" name="ICV">
    <vt:lpwstr>DC858288F7904A5191478168E6E68CAE_13</vt:lpwstr>
  </property>
</Properties>
</file>