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8FD26">
      <w:pPr>
        <w:spacing w:before="48" w:line="218" w:lineRule="auto"/>
        <w:ind w:left="126"/>
        <w:rPr>
          <w:rFonts w:hint="default" w:ascii="宋体" w:hAnsi="宋体" w:eastAsia="宋体" w:cs="宋体"/>
          <w:sz w:val="24"/>
          <w:szCs w:val="24"/>
          <w:lang w:val="en-US" w:eastAsia="zh-CN"/>
        </w:rPr>
      </w:pPr>
      <w:r>
        <w:rPr>
          <w:rFonts w:ascii="宋体" w:hAnsi="宋体" w:cs="宋体"/>
          <w:spacing w:val="-12"/>
          <w:sz w:val="24"/>
          <w:szCs w:val="24"/>
          <w14:textOutline w14:w="4356" w14:cap="flat" w14:cmpd="sng" w14:algn="ctr">
            <w14:solidFill>
              <w14:srgbClr w14:val="000000"/>
            </w14:solidFill>
            <w14:prstDash w14:val="solid"/>
            <w14:miter w14:val="0"/>
          </w14:textOutline>
        </w:rPr>
        <w:t>证券代</w:t>
      </w:r>
      <w:r>
        <w:rPr>
          <w:rFonts w:ascii="宋体" w:hAnsi="宋体" w:cs="宋体"/>
          <w:spacing w:val="-8"/>
          <w:sz w:val="24"/>
          <w:szCs w:val="24"/>
          <w14:textOutline w14:w="4356" w14:cap="flat" w14:cmpd="sng" w14:algn="ctr">
            <w14:solidFill>
              <w14:srgbClr w14:val="000000"/>
            </w14:solidFill>
            <w14:prstDash w14:val="solid"/>
            <w14:miter w14:val="0"/>
          </w14:textOutline>
        </w:rPr>
        <w:t>码</w:t>
      </w:r>
      <w:r>
        <w:rPr>
          <w:rFonts w:ascii="宋体" w:hAnsi="宋体" w:cs="宋体"/>
          <w:spacing w:val="-6"/>
          <w:sz w:val="24"/>
          <w:szCs w:val="24"/>
          <w14:textOutline w14:w="4356" w14:cap="flat" w14:cmpd="sng" w14:algn="ctr">
            <w14:solidFill>
              <w14:srgbClr w14:val="000000"/>
            </w14:solidFill>
            <w14:prstDash w14:val="solid"/>
            <w14:miter w14:val="0"/>
          </w14:textOutline>
        </w:rPr>
        <w:t>：6031</w:t>
      </w:r>
      <w:r>
        <w:rPr>
          <w:rFonts w:hint="eastAsia" w:ascii="宋体" w:hAnsi="宋体" w:cs="宋体"/>
          <w:spacing w:val="-6"/>
          <w:sz w:val="24"/>
          <w:szCs w:val="24"/>
          <w14:textOutline w14:w="4356" w14:cap="flat" w14:cmpd="sng" w14:algn="ctr">
            <w14:solidFill>
              <w14:srgbClr w14:val="000000"/>
            </w14:solidFill>
            <w14:prstDash w14:val="solid"/>
            <w14:miter w14:val="0"/>
          </w14:textOutline>
        </w:rPr>
        <w:t xml:space="preserve">91         </w:t>
      </w:r>
      <w:r>
        <w:rPr>
          <w:rFonts w:ascii="宋体" w:hAnsi="宋体" w:cs="宋体"/>
          <w:spacing w:val="-6"/>
          <w:sz w:val="24"/>
          <w:szCs w:val="24"/>
          <w14:textOutline w14:w="4356" w14:cap="flat" w14:cmpd="sng" w14:algn="ctr">
            <w14:solidFill>
              <w14:srgbClr w14:val="000000"/>
            </w14:solidFill>
            <w14:prstDash w14:val="solid"/>
            <w14:miter w14:val="0"/>
          </w14:textOutline>
        </w:rPr>
        <w:t>证券简称：</w:t>
      </w:r>
      <w:r>
        <w:rPr>
          <w:rFonts w:hint="eastAsia" w:ascii="宋体" w:hAnsi="宋体" w:cs="宋体"/>
          <w:spacing w:val="-6"/>
          <w:sz w:val="24"/>
          <w:szCs w:val="24"/>
          <w14:textOutline w14:w="4356" w14:cap="flat" w14:cmpd="sng" w14:algn="ctr">
            <w14:solidFill>
              <w14:srgbClr w14:val="000000"/>
            </w14:solidFill>
            <w14:prstDash w14:val="solid"/>
            <w14:miter w14:val="0"/>
          </w14:textOutline>
        </w:rPr>
        <w:t xml:space="preserve">望变电气         </w:t>
      </w:r>
      <w:r>
        <w:rPr>
          <w:rFonts w:ascii="宋体" w:hAnsi="宋体" w:cs="宋体"/>
          <w:spacing w:val="-6"/>
          <w:sz w:val="24"/>
          <w:szCs w:val="24"/>
          <w14:textOutline w14:w="4356" w14:cap="flat" w14:cmpd="sng" w14:algn="ctr">
            <w14:solidFill>
              <w14:srgbClr w14:val="000000"/>
            </w14:solidFill>
            <w14:prstDash w14:val="solid"/>
            <w14:miter w14:val="0"/>
          </w14:textOutline>
        </w:rPr>
        <w:t>公告编号：202</w:t>
      </w:r>
      <w:r>
        <w:rPr>
          <w:rFonts w:hint="eastAsia" w:ascii="宋体" w:hAnsi="宋体" w:cs="宋体"/>
          <w:spacing w:val="-6"/>
          <w:sz w:val="24"/>
          <w:szCs w:val="24"/>
          <w:lang w:val="en-US" w:eastAsia="zh-CN"/>
          <w14:textOutline w14:w="4356" w14:cap="flat" w14:cmpd="sng" w14:algn="ctr">
            <w14:solidFill>
              <w14:srgbClr w14:val="000000"/>
            </w14:solidFill>
            <w14:prstDash w14:val="solid"/>
            <w14:miter w14:val="0"/>
          </w14:textOutline>
        </w:rPr>
        <w:t>5-008</w:t>
      </w:r>
    </w:p>
    <w:p w14:paraId="7F57D5E1">
      <w:pPr>
        <w:spacing w:line="317" w:lineRule="auto"/>
      </w:pPr>
    </w:p>
    <w:p w14:paraId="06DA8712">
      <w:pPr>
        <w:spacing w:line="318" w:lineRule="auto"/>
        <w:jc w:val="center"/>
        <w:rPr>
          <w:b/>
          <w:bCs/>
        </w:rPr>
      </w:pPr>
    </w:p>
    <w:p w14:paraId="7369FEA7">
      <w:pPr>
        <w:spacing w:before="91" w:line="219" w:lineRule="auto"/>
        <w:jc w:val="center"/>
        <w:rPr>
          <w:rFonts w:ascii="宋体" w:hAnsi="宋体" w:cs="宋体"/>
          <w:b/>
          <w:bCs/>
          <w:sz w:val="36"/>
          <w:szCs w:val="36"/>
        </w:rPr>
      </w:pPr>
      <w:r>
        <w:rPr>
          <w:rFonts w:hint="eastAsia" w:ascii="宋体" w:hAnsi="宋体" w:cs="宋体"/>
          <w:b/>
          <w:bCs/>
          <w:color w:val="FF0000"/>
          <w:spacing w:val="-1"/>
          <w:sz w:val="36"/>
          <w:szCs w:val="36"/>
        </w:rPr>
        <w:t>重庆望变电气（集团）股份有限公</w:t>
      </w:r>
      <w:r>
        <w:rPr>
          <w:rFonts w:hint="eastAsia" w:ascii="宋体" w:hAnsi="宋体" w:cs="宋体"/>
          <w:b/>
          <w:bCs/>
          <w:color w:val="FF0000"/>
          <w:sz w:val="36"/>
          <w:szCs w:val="36"/>
        </w:rPr>
        <w:t>司</w:t>
      </w:r>
    </w:p>
    <w:p w14:paraId="6C43ADA5">
      <w:pPr>
        <w:spacing w:before="291" w:line="219" w:lineRule="auto"/>
        <w:jc w:val="center"/>
        <w:rPr>
          <w:rFonts w:ascii="宋体" w:hAnsi="宋体" w:cs="宋体"/>
          <w:b/>
          <w:bCs/>
          <w:sz w:val="36"/>
          <w:szCs w:val="36"/>
        </w:rPr>
      </w:pPr>
      <w:r>
        <w:rPr>
          <w:rFonts w:hint="eastAsia" w:ascii="宋体" w:hAnsi="宋体" w:cs="宋体"/>
          <w:b/>
          <w:bCs/>
          <w:color w:val="FF0000"/>
          <w:spacing w:val="-2"/>
          <w:sz w:val="36"/>
          <w:szCs w:val="36"/>
        </w:rPr>
        <w:t>关于部分募</w:t>
      </w:r>
      <w:r>
        <w:rPr>
          <w:rFonts w:hint="eastAsia" w:ascii="宋体" w:hAnsi="宋体" w:cs="宋体"/>
          <w:b/>
          <w:bCs/>
          <w:color w:val="FF0000"/>
          <w:spacing w:val="-1"/>
          <w:sz w:val="36"/>
          <w:szCs w:val="36"/>
        </w:rPr>
        <w:t>集资金账户注销的公告</w:t>
      </w:r>
    </w:p>
    <w:p w14:paraId="22EE4ACC"/>
    <w:p w14:paraId="16652D09"/>
    <w:p w14:paraId="229ABF68">
      <w:pPr>
        <w:spacing w:line="197" w:lineRule="exact"/>
      </w:pPr>
    </w:p>
    <w:tbl>
      <w:tblPr>
        <w:tblStyle w:val="9"/>
        <w:tblW w:w="853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8"/>
      </w:tblGrid>
      <w:tr w14:paraId="0AC9ADF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70" w:hRule="atLeast"/>
        </w:trPr>
        <w:tc>
          <w:tcPr>
            <w:tcW w:w="8538" w:type="dxa"/>
          </w:tcPr>
          <w:p w14:paraId="0EFF700E">
            <w:pPr>
              <w:spacing w:before="266" w:line="562" w:lineRule="exact"/>
              <w:ind w:left="602"/>
              <w:rPr>
                <w:rFonts w:ascii="宋体" w:hAnsi="宋体" w:cs="宋体"/>
                <w:sz w:val="24"/>
                <w:szCs w:val="24"/>
              </w:rPr>
            </w:pPr>
            <w:r>
              <w:rPr>
                <w:rFonts w:ascii="宋体" w:hAnsi="宋体" w:cs="宋体"/>
                <w:spacing w:val="-6"/>
                <w:position w:val="24"/>
                <w:sz w:val="24"/>
                <w:szCs w:val="24"/>
              </w:rPr>
              <w:t>本</w:t>
            </w:r>
            <w:r>
              <w:rPr>
                <w:rFonts w:ascii="宋体" w:hAnsi="宋体" w:cs="宋体"/>
                <w:spacing w:val="-5"/>
                <w:position w:val="24"/>
                <w:sz w:val="24"/>
                <w:szCs w:val="24"/>
              </w:rPr>
              <w:t>公</w:t>
            </w:r>
            <w:r>
              <w:rPr>
                <w:rFonts w:ascii="宋体" w:hAnsi="宋体" w:cs="宋体"/>
                <w:spacing w:val="-3"/>
                <w:position w:val="24"/>
                <w:sz w:val="24"/>
                <w:szCs w:val="24"/>
              </w:rPr>
              <w:t>司董事会及全体董事保证本公告内容不存在任何虚假记载、误导性陈述</w:t>
            </w:r>
          </w:p>
          <w:p w14:paraId="07212D3E">
            <w:pPr>
              <w:spacing w:line="219" w:lineRule="auto"/>
              <w:ind w:left="124"/>
              <w:rPr>
                <w:rFonts w:ascii="宋体" w:hAnsi="宋体" w:cs="宋体"/>
                <w:sz w:val="24"/>
                <w:szCs w:val="24"/>
              </w:rPr>
            </w:pPr>
            <w:r>
              <w:rPr>
                <w:rFonts w:ascii="宋体" w:hAnsi="宋体" w:cs="宋体"/>
                <w:spacing w:val="-2"/>
                <w:sz w:val="24"/>
                <w:szCs w:val="24"/>
              </w:rPr>
              <w:t>或者重大遗漏，并对其内容</w:t>
            </w:r>
            <w:r>
              <w:rPr>
                <w:rFonts w:ascii="宋体" w:hAnsi="宋体" w:cs="宋体"/>
                <w:spacing w:val="-1"/>
                <w:sz w:val="24"/>
                <w:szCs w:val="24"/>
              </w:rPr>
              <w:t>的真实性、准确性和完整性承担个别及连带责任。</w:t>
            </w:r>
          </w:p>
        </w:tc>
      </w:tr>
    </w:tbl>
    <w:p w14:paraId="12822ADD">
      <w:pPr>
        <w:spacing w:line="250" w:lineRule="auto"/>
      </w:pPr>
    </w:p>
    <w:p w14:paraId="1EABC81D">
      <w:pPr>
        <w:spacing w:line="250" w:lineRule="auto"/>
      </w:pPr>
    </w:p>
    <w:p w14:paraId="6F327F1E">
      <w:pPr>
        <w:spacing w:before="78" w:line="219" w:lineRule="auto"/>
        <w:ind w:left="613"/>
        <w:outlineLvl w:val="0"/>
        <w:rPr>
          <w:rFonts w:ascii="宋体" w:hAnsi="宋体" w:cs="宋体"/>
          <w:sz w:val="24"/>
          <w:szCs w:val="24"/>
        </w:rPr>
      </w:pPr>
      <w:r>
        <w:rPr>
          <w:rFonts w:ascii="宋体" w:hAnsi="宋体" w:cs="宋体"/>
          <w:spacing w:val="-1"/>
          <w:sz w:val="24"/>
          <w:szCs w:val="24"/>
          <w14:textOutline w14:w="4356" w14:cap="flat" w14:cmpd="sng" w14:algn="ctr">
            <w14:solidFill>
              <w14:srgbClr w14:val="000000"/>
            </w14:solidFill>
            <w14:prstDash w14:val="solid"/>
            <w14:miter w14:val="0"/>
          </w14:textOutline>
        </w:rPr>
        <w:t>一、募集资</w:t>
      </w:r>
      <w:r>
        <w:rPr>
          <w:rFonts w:ascii="宋体" w:hAnsi="宋体" w:cs="宋体"/>
          <w:sz w:val="24"/>
          <w:szCs w:val="24"/>
          <w14:textOutline w14:w="4356" w14:cap="flat" w14:cmpd="sng" w14:algn="ctr">
            <w14:solidFill>
              <w14:srgbClr w14:val="000000"/>
            </w14:solidFill>
            <w14:prstDash w14:val="solid"/>
            <w14:miter w14:val="0"/>
          </w14:textOutline>
        </w:rPr>
        <w:t>金基本情况</w:t>
      </w:r>
    </w:p>
    <w:p w14:paraId="2002EC2A">
      <w:pPr>
        <w:spacing w:before="8" w:line="560" w:lineRule="exact"/>
        <w:ind w:left="125" w:right="119" w:firstLine="482"/>
        <w:rPr>
          <w:rFonts w:ascii="宋体" w:hAnsi="宋体" w:cs="宋体"/>
          <w:spacing w:val="-6"/>
          <w:sz w:val="24"/>
          <w:szCs w:val="24"/>
        </w:rPr>
      </w:pPr>
      <w:r>
        <w:rPr>
          <w:rFonts w:hint="eastAsia" w:ascii="宋体" w:hAnsi="宋体" w:cs="宋体"/>
          <w:spacing w:val="-6"/>
          <w:sz w:val="24"/>
          <w:szCs w:val="24"/>
        </w:rPr>
        <w:t>经中国证券监督管理委员会《关于核准重庆望变电气（集团）股份有限公司首次公开发行股票批复》（证监许可[2022]490号）核准，公司向社会公开发行83,291,852股，共计募集资金人民币987,841,364.72元，扣除发行相关费用合计人民币133,279,564.72元，实际募集资金净额为人民币854,561,800.00元。上述募集资金到位情况业经大华会计师事务所（特殊普通合伙）验证，并由其出具《验资报告》（大华验字[2022]000143号）。</w:t>
      </w:r>
    </w:p>
    <w:p w14:paraId="1778B2D6">
      <w:pPr>
        <w:spacing w:before="8" w:line="560" w:lineRule="exact"/>
        <w:ind w:left="125" w:right="119" w:firstLine="482"/>
        <w:rPr>
          <w:rFonts w:ascii="宋体" w:hAnsi="宋体" w:cs="宋体"/>
          <w:spacing w:val="-6"/>
          <w:sz w:val="24"/>
          <w:szCs w:val="24"/>
        </w:rPr>
      </w:pPr>
      <w:r>
        <w:rPr>
          <w:rFonts w:hint="eastAsia" w:ascii="宋体" w:hAnsi="宋体" w:cs="宋体"/>
          <w:spacing w:val="-6"/>
          <w:sz w:val="24"/>
          <w:szCs w:val="24"/>
        </w:rPr>
        <w:t>上述募集资金已经全部存放于公司募集资金专户，公司已与保荐机构和存放募集资金的各商业银行签订《募集资金专户存储三方监管协议》。</w:t>
      </w:r>
    </w:p>
    <w:p w14:paraId="2452DEF8">
      <w:pPr>
        <w:numPr>
          <w:ilvl w:val="0"/>
          <w:numId w:val="1"/>
        </w:numPr>
        <w:spacing w:before="182" w:line="220" w:lineRule="auto"/>
        <w:ind w:left="608"/>
        <w:outlineLvl w:val="0"/>
        <w:rPr>
          <w:rFonts w:ascii="宋体" w:hAnsi="宋体" w:cs="宋体"/>
          <w:sz w:val="24"/>
          <w:szCs w:val="24"/>
          <w14:textOutline w14:w="4356" w14:cap="flat" w14:cmpd="sng" w14:algn="ctr">
            <w14:solidFill>
              <w14:srgbClr w14:val="000000"/>
            </w14:solidFill>
            <w14:prstDash w14:val="solid"/>
            <w14:miter w14:val="0"/>
          </w14:textOutline>
        </w:rPr>
      </w:pPr>
      <w:r>
        <w:rPr>
          <w:rFonts w:ascii="宋体" w:hAnsi="宋体" w:cs="宋体"/>
          <w:spacing w:val="-1"/>
          <w:sz w:val="24"/>
          <w:szCs w:val="24"/>
          <w14:textOutline w14:w="4356" w14:cap="flat" w14:cmpd="sng" w14:algn="ctr">
            <w14:solidFill>
              <w14:srgbClr w14:val="000000"/>
            </w14:solidFill>
            <w14:prstDash w14:val="solid"/>
            <w14:miter w14:val="0"/>
          </w14:textOutline>
        </w:rPr>
        <w:t>募集资</w:t>
      </w:r>
      <w:r>
        <w:rPr>
          <w:rFonts w:ascii="宋体" w:hAnsi="宋体" w:cs="宋体"/>
          <w:sz w:val="24"/>
          <w:szCs w:val="24"/>
          <w14:textOutline w14:w="4356" w14:cap="flat" w14:cmpd="sng" w14:algn="ctr">
            <w14:solidFill>
              <w14:srgbClr w14:val="000000"/>
            </w14:solidFill>
            <w14:prstDash w14:val="solid"/>
            <w14:miter w14:val="0"/>
          </w14:textOutline>
        </w:rPr>
        <w:t>金管理情况</w:t>
      </w:r>
    </w:p>
    <w:p w14:paraId="4F195A7D">
      <w:pPr>
        <w:pStyle w:val="10"/>
        <w:rPr>
          <w:rFonts w:hint="default"/>
        </w:rPr>
      </w:pPr>
    </w:p>
    <w:p w14:paraId="2DCD03D5">
      <w:pPr>
        <w:spacing w:line="360" w:lineRule="auto"/>
        <w:ind w:firstLine="480" w:firstLineChars="200"/>
        <w:rPr>
          <w:rFonts w:ascii="宋体" w:hAnsi="宋体"/>
          <w:sz w:val="24"/>
          <w:szCs w:val="24"/>
        </w:rPr>
      </w:pPr>
      <w:r>
        <w:rPr>
          <w:rFonts w:hint="eastAsia" w:ascii="宋体" w:hAnsi="宋体"/>
          <w:sz w:val="24"/>
          <w:szCs w:val="24"/>
        </w:rPr>
        <w:t>为了规范募集资金的管理和使用，保护投资者权益，本公司依照《中华人民共和国公司法》《中华人民共和国证券法》《上海证券交易所股票上市规则》《上海证券交易所上市公司自律监管指引第1号——规范运作》等法律法规，结合公司实际情况，制定了《重庆望变电气（集团）股份有限公司募集资金管理制度》（以下简称“</w:t>
      </w:r>
      <w:r>
        <w:rPr>
          <w:rFonts w:hint="eastAsia" w:cs="微软雅黑" w:asciiTheme="minorEastAsia" w:hAnsiTheme="minorEastAsia" w:eastAsiaTheme="minorEastAsia"/>
          <w:sz w:val="24"/>
          <w:szCs w:val="24"/>
        </w:rPr>
        <w:t>《</w:t>
      </w:r>
      <w:r>
        <w:rPr>
          <w:rFonts w:asciiTheme="minorEastAsia" w:hAnsiTheme="minorEastAsia" w:eastAsiaTheme="minorEastAsia"/>
          <w:sz w:val="24"/>
          <w:szCs w:val="24"/>
        </w:rPr>
        <w:t>管理制度</w:t>
      </w:r>
      <w:r>
        <w:rPr>
          <w:rFonts w:hint="eastAsia" w:cs="微软雅黑" w:asciiTheme="minorEastAsia" w:hAnsiTheme="minorEastAsia" w:eastAsiaTheme="minorEastAsia"/>
          <w:sz w:val="24"/>
          <w:szCs w:val="24"/>
        </w:rPr>
        <w:t>》</w:t>
      </w:r>
      <w:r>
        <w:rPr>
          <w:rFonts w:hint="eastAsia" w:ascii="宋体" w:hAnsi="宋体"/>
          <w:sz w:val="24"/>
          <w:szCs w:val="24"/>
        </w:rPr>
        <w:t>”），该《管理制度》经本公司2022年第三届第十一次董事会审议通过，并业经本公司2022年第一次临时股东大会表决通过。</w:t>
      </w:r>
    </w:p>
    <w:p w14:paraId="74ABBC34">
      <w:pPr>
        <w:spacing w:before="183" w:line="360" w:lineRule="auto"/>
        <w:ind w:right="114" w:firstLine="480" w:firstLineChars="200"/>
        <w:rPr>
          <w:rFonts w:ascii="宋体" w:hAnsi="宋体"/>
          <w:sz w:val="24"/>
          <w:szCs w:val="24"/>
        </w:rPr>
      </w:pPr>
      <w:r>
        <w:rPr>
          <w:rFonts w:hint="eastAsia" w:ascii="宋体" w:hAnsi="宋体"/>
          <w:sz w:val="24"/>
          <w:szCs w:val="24"/>
        </w:rPr>
        <w:t>根据《管理制度》的要求，并结合公司经营需要，本公司分别在招商银行股份有限公司重庆长寿支行（该专户已于2022年6月22日注销）、重庆三峡银行股份有限公司长寿支行、上海浦东发展银行股份有限公司重庆分行、中信银行重庆分行营业部</w:t>
      </w:r>
      <w:r>
        <w:rPr>
          <w:rFonts w:hint="eastAsia" w:ascii="宋体" w:hAnsi="宋体"/>
          <w:sz w:val="24"/>
          <w:szCs w:val="24"/>
          <w:lang w:eastAsia="zh-CN"/>
        </w:rPr>
        <w:t>（</w:t>
      </w:r>
      <w:r>
        <w:rPr>
          <w:rFonts w:hint="eastAsia" w:ascii="宋体" w:hAnsi="宋体"/>
          <w:sz w:val="24"/>
          <w:szCs w:val="24"/>
          <w:lang w:val="en-US" w:eastAsia="zh-CN"/>
        </w:rPr>
        <w:t>该专户已于2023年10月13日注销</w:t>
      </w:r>
      <w:r>
        <w:rPr>
          <w:rFonts w:hint="eastAsia" w:ascii="宋体" w:hAnsi="宋体"/>
          <w:sz w:val="24"/>
          <w:szCs w:val="24"/>
          <w:lang w:eastAsia="zh-CN"/>
        </w:rPr>
        <w:t>）</w:t>
      </w:r>
      <w:r>
        <w:rPr>
          <w:rFonts w:hint="eastAsia" w:ascii="宋体" w:hAnsi="宋体"/>
          <w:sz w:val="24"/>
          <w:szCs w:val="24"/>
        </w:rPr>
        <w:t>、中国农业银行股份有限公司重庆长寿支行</w:t>
      </w:r>
      <w:r>
        <w:rPr>
          <w:rFonts w:hint="eastAsia" w:ascii="宋体" w:hAnsi="宋体"/>
          <w:sz w:val="24"/>
          <w:szCs w:val="24"/>
          <w:lang w:eastAsia="zh-CN"/>
        </w:rPr>
        <w:t>（</w:t>
      </w:r>
      <w:r>
        <w:rPr>
          <w:rFonts w:hint="eastAsia" w:ascii="宋体" w:hAnsi="宋体"/>
          <w:sz w:val="24"/>
          <w:szCs w:val="24"/>
          <w:lang w:val="en-US" w:eastAsia="zh-CN"/>
        </w:rPr>
        <w:t>该专户已于2023年6月26日注销</w:t>
      </w:r>
      <w:r>
        <w:rPr>
          <w:rFonts w:hint="eastAsia" w:ascii="宋体" w:hAnsi="宋体"/>
          <w:sz w:val="24"/>
          <w:szCs w:val="24"/>
          <w:lang w:eastAsia="zh-CN"/>
        </w:rPr>
        <w:t>）</w:t>
      </w:r>
      <w:r>
        <w:rPr>
          <w:rFonts w:hint="eastAsia" w:ascii="宋体" w:hAnsi="宋体"/>
          <w:sz w:val="24"/>
          <w:szCs w:val="24"/>
        </w:rPr>
        <w:t>、哈尔滨银行股份有限公司重庆分行开设募集资金专项账户，并于2022年4月18日、2022年7月3日与中信证券股份有限公司、招商银行股份有限公司重庆长寿支行（该专户已于2022年6月22日注销）、重庆三峡银行股份有限公司长寿支行、上海浦东发展银行股份有限公司重庆分行、中信银行重庆分行营业部</w:t>
      </w:r>
      <w:r>
        <w:rPr>
          <w:rFonts w:hint="eastAsia" w:ascii="宋体" w:hAnsi="宋体"/>
          <w:sz w:val="24"/>
          <w:szCs w:val="24"/>
          <w:lang w:eastAsia="zh-CN"/>
        </w:rPr>
        <w:t>（</w:t>
      </w:r>
      <w:r>
        <w:rPr>
          <w:rFonts w:hint="eastAsia" w:ascii="宋体" w:hAnsi="宋体"/>
          <w:sz w:val="24"/>
          <w:szCs w:val="24"/>
          <w:lang w:val="en-US" w:eastAsia="zh-CN"/>
        </w:rPr>
        <w:t>该专户已于2023年10月13日注销</w:t>
      </w:r>
      <w:r>
        <w:rPr>
          <w:rFonts w:hint="eastAsia" w:ascii="宋体" w:hAnsi="宋体"/>
          <w:sz w:val="24"/>
          <w:szCs w:val="24"/>
          <w:lang w:eastAsia="zh-CN"/>
        </w:rPr>
        <w:t>）</w:t>
      </w:r>
      <w:r>
        <w:rPr>
          <w:rFonts w:hint="eastAsia" w:ascii="宋体" w:hAnsi="宋体"/>
          <w:sz w:val="24"/>
          <w:szCs w:val="24"/>
        </w:rPr>
        <w:t>、中国农业银行股份有限公司重庆长寿支行</w:t>
      </w:r>
      <w:r>
        <w:rPr>
          <w:rFonts w:hint="eastAsia" w:ascii="宋体" w:hAnsi="宋体"/>
          <w:sz w:val="24"/>
          <w:szCs w:val="24"/>
          <w:lang w:eastAsia="zh-CN"/>
        </w:rPr>
        <w:t>（</w:t>
      </w:r>
      <w:r>
        <w:rPr>
          <w:rFonts w:hint="eastAsia" w:ascii="宋体" w:hAnsi="宋体"/>
          <w:sz w:val="24"/>
          <w:szCs w:val="24"/>
          <w:lang w:val="en-US" w:eastAsia="zh-CN"/>
        </w:rPr>
        <w:t>该专户已于2023年6月26日注销</w:t>
      </w:r>
      <w:r>
        <w:rPr>
          <w:rFonts w:hint="eastAsia" w:ascii="宋体" w:hAnsi="宋体"/>
          <w:sz w:val="24"/>
          <w:szCs w:val="24"/>
          <w:lang w:eastAsia="zh-CN"/>
        </w:rPr>
        <w:t>）</w:t>
      </w:r>
      <w:r>
        <w:rPr>
          <w:rFonts w:hint="eastAsia" w:ascii="宋体" w:hAnsi="宋体"/>
          <w:sz w:val="24"/>
          <w:szCs w:val="24"/>
        </w:rPr>
        <w:t>、哈尔滨银行股份有限公司重庆分行签署了《募集资金专户存储三方监管协议》，并对募集资金的使用实行严格的审批手续，以保证专款专用；授权保荐代表人可以随时到开设募集资金专户的银行查询募集资金专户资料，并要求保荐代表人每半年对募集资金管理和使用情况至少进行现场调查一次。</w:t>
      </w:r>
    </w:p>
    <w:p w14:paraId="0CF070A2">
      <w:pPr>
        <w:spacing w:before="183" w:line="360" w:lineRule="auto"/>
        <w:ind w:right="114" w:firstLine="480" w:firstLineChars="200"/>
        <w:rPr>
          <w:rFonts w:ascii="宋体" w:hAnsi="宋体"/>
          <w:sz w:val="24"/>
          <w:szCs w:val="24"/>
        </w:rPr>
      </w:pPr>
      <w:r>
        <w:rPr>
          <w:rFonts w:hint="eastAsia" w:ascii="宋体" w:hAnsi="宋体"/>
          <w:sz w:val="24"/>
          <w:szCs w:val="24"/>
        </w:rPr>
        <w:t>公司一直严格按照《管理制度》的规定管理募集资金，募集资金的存放、使用、管理均不存在违反《管理制度》及</w:t>
      </w:r>
      <w:r>
        <w:rPr>
          <w:rFonts w:hint="eastAsia" w:cs="微软雅黑" w:asciiTheme="minorEastAsia" w:hAnsiTheme="minorEastAsia" w:eastAsiaTheme="minorEastAsia"/>
          <w:sz w:val="24"/>
          <w:szCs w:val="24"/>
        </w:rPr>
        <w:t>《上海证券交易所上市公司自律监管指引第</w:t>
      </w:r>
      <w:r>
        <w:rPr>
          <w:rFonts w:asciiTheme="minorEastAsia" w:hAnsiTheme="minorEastAsia" w:eastAsiaTheme="minorEastAsia"/>
          <w:sz w:val="24"/>
          <w:szCs w:val="24"/>
        </w:rPr>
        <w:t>1</w:t>
      </w:r>
      <w:r>
        <w:rPr>
          <w:rFonts w:hint="eastAsia" w:cs="微软雅黑" w:asciiTheme="minorEastAsia" w:hAnsiTheme="minorEastAsia" w:eastAsiaTheme="minorEastAsia"/>
          <w:sz w:val="24"/>
          <w:szCs w:val="24"/>
        </w:rPr>
        <w:t>号</w:t>
      </w:r>
      <w:r>
        <w:rPr>
          <w:rFonts w:hint="eastAsia" w:asciiTheme="minorEastAsia" w:hAnsiTheme="minorEastAsia" w:eastAsiaTheme="minorEastAsia"/>
          <w:sz w:val="24"/>
          <w:szCs w:val="24"/>
        </w:rPr>
        <w:t>——</w:t>
      </w:r>
      <w:r>
        <w:rPr>
          <w:rFonts w:hint="eastAsia" w:cs="微软雅黑" w:asciiTheme="minorEastAsia" w:hAnsiTheme="minorEastAsia" w:eastAsiaTheme="minorEastAsia"/>
          <w:sz w:val="24"/>
          <w:szCs w:val="24"/>
        </w:rPr>
        <w:t>规范运作》《上市公司监管指引第2号——上市公司募集资金管理和使用的监管要求》等法律法规</w:t>
      </w:r>
      <w:r>
        <w:rPr>
          <w:rFonts w:hint="eastAsia" w:ascii="宋体" w:hAnsi="宋体"/>
          <w:sz w:val="24"/>
          <w:szCs w:val="24"/>
        </w:rPr>
        <w:t>规定的情形。</w:t>
      </w:r>
    </w:p>
    <w:p w14:paraId="4E048F06">
      <w:pPr>
        <w:spacing w:before="183" w:line="360" w:lineRule="auto"/>
        <w:ind w:right="114" w:firstLine="496" w:firstLineChars="200"/>
        <w:rPr>
          <w:rFonts w:ascii="宋体" w:hAnsi="宋体" w:cs="宋体"/>
          <w:spacing w:val="-8"/>
          <w:sz w:val="24"/>
          <w:szCs w:val="24"/>
        </w:rPr>
      </w:pPr>
      <w:r>
        <w:rPr>
          <w:rFonts w:ascii="宋体" w:hAnsi="宋体" w:cs="宋体"/>
          <w:spacing w:val="4"/>
          <w:sz w:val="24"/>
          <w:szCs w:val="24"/>
        </w:rPr>
        <w:t>募集资金专</w:t>
      </w:r>
      <w:r>
        <w:rPr>
          <w:rFonts w:ascii="宋体" w:hAnsi="宋体" w:cs="宋体"/>
          <w:spacing w:val="1"/>
          <w:sz w:val="24"/>
          <w:szCs w:val="24"/>
        </w:rPr>
        <w:t>户</w:t>
      </w:r>
      <w:r>
        <w:rPr>
          <w:rFonts w:ascii="宋体" w:hAnsi="宋体" w:cs="宋体"/>
          <w:sz w:val="24"/>
          <w:szCs w:val="24"/>
        </w:rPr>
        <w:t>的</w:t>
      </w:r>
      <w:r>
        <w:rPr>
          <w:rFonts w:hint="eastAsia" w:ascii="宋体" w:hAnsi="宋体" w:cs="宋体"/>
          <w:spacing w:val="-9"/>
          <w:sz w:val="24"/>
          <w:szCs w:val="24"/>
        </w:rPr>
        <w:t>存储</w:t>
      </w:r>
      <w:r>
        <w:rPr>
          <w:rFonts w:ascii="宋体" w:hAnsi="宋体" w:cs="宋体"/>
          <w:spacing w:val="-8"/>
          <w:sz w:val="24"/>
          <w:szCs w:val="24"/>
        </w:rPr>
        <w:t>情况如下：</w:t>
      </w:r>
    </w:p>
    <w:tbl>
      <w:tblPr>
        <w:tblStyle w:val="6"/>
        <w:tblW w:w="5000" w:type="pct"/>
        <w:jc w:val="center"/>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108" w:type="dxa"/>
          <w:bottom w:w="0" w:type="dxa"/>
          <w:right w:w="108" w:type="dxa"/>
        </w:tblCellMar>
      </w:tblPr>
      <w:tblGrid>
        <w:gridCol w:w="2093"/>
        <w:gridCol w:w="2267"/>
        <w:gridCol w:w="2412"/>
        <w:gridCol w:w="1979"/>
      </w:tblGrid>
      <w:tr w14:paraId="0A6A719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102" w:hRule="atLeast"/>
          <w:jc w:val="center"/>
        </w:trPr>
        <w:tc>
          <w:tcPr>
            <w:tcW w:w="1195" w:type="pct"/>
            <w:tcBorders>
              <w:top w:val="single" w:color="auto" w:sz="4" w:space="0"/>
              <w:left w:val="single" w:color="auto" w:sz="4" w:space="0"/>
              <w:bottom w:val="single" w:color="000000" w:sz="2" w:space="0"/>
              <w:right w:val="single" w:color="000000" w:sz="2" w:space="0"/>
              <w:tl2br w:val="nil"/>
              <w:tr2bl w:val="nil"/>
            </w:tcBorders>
            <w:vAlign w:val="center"/>
          </w:tcPr>
          <w:p w14:paraId="61E99353">
            <w:pPr>
              <w:spacing w:line="560" w:lineRule="exact"/>
              <w:jc w:val="center"/>
              <w:rPr>
                <w:rFonts w:ascii="宋体" w:hAnsi="宋体"/>
                <w:b/>
                <w:highlight w:val="none"/>
              </w:rPr>
            </w:pPr>
            <w:r>
              <w:rPr>
                <w:rFonts w:hint="eastAsia" w:ascii="宋体" w:hAnsi="宋体"/>
                <w:b/>
                <w:highlight w:val="none"/>
              </w:rPr>
              <w:t>募集资金投资项目</w:t>
            </w:r>
          </w:p>
        </w:tc>
        <w:tc>
          <w:tcPr>
            <w:tcW w:w="1295" w:type="pct"/>
            <w:tcBorders>
              <w:top w:val="single" w:color="auto" w:sz="4" w:space="0"/>
              <w:left w:val="single" w:color="000000" w:sz="2" w:space="0"/>
              <w:bottom w:val="single" w:color="000000" w:sz="2" w:space="0"/>
              <w:right w:val="single" w:color="000000" w:sz="2" w:space="0"/>
              <w:tl2br w:val="nil"/>
              <w:tr2bl w:val="nil"/>
            </w:tcBorders>
            <w:vAlign w:val="center"/>
          </w:tcPr>
          <w:p w14:paraId="06026E83">
            <w:pPr>
              <w:spacing w:line="560" w:lineRule="exact"/>
              <w:jc w:val="center"/>
              <w:rPr>
                <w:rFonts w:ascii="宋体" w:hAnsi="宋体"/>
                <w:b/>
                <w:highlight w:val="none"/>
              </w:rPr>
            </w:pPr>
            <w:r>
              <w:rPr>
                <w:rFonts w:hint="eastAsia" w:ascii="宋体" w:hAnsi="宋体"/>
                <w:b/>
                <w:highlight w:val="none"/>
              </w:rPr>
              <w:t>开户银行</w:t>
            </w:r>
          </w:p>
        </w:tc>
        <w:tc>
          <w:tcPr>
            <w:tcW w:w="1378" w:type="pct"/>
            <w:tcBorders>
              <w:top w:val="single" w:color="auto" w:sz="4" w:space="0"/>
              <w:left w:val="single" w:color="000000" w:sz="2" w:space="0"/>
              <w:bottom w:val="single" w:color="000000" w:sz="2" w:space="0"/>
              <w:right w:val="single" w:color="auto" w:sz="4" w:space="0"/>
              <w:tl2br w:val="nil"/>
              <w:tr2bl w:val="nil"/>
            </w:tcBorders>
            <w:vAlign w:val="center"/>
          </w:tcPr>
          <w:p w14:paraId="2E6FE8D4">
            <w:pPr>
              <w:spacing w:line="560" w:lineRule="exact"/>
              <w:jc w:val="center"/>
              <w:rPr>
                <w:rFonts w:ascii="宋体" w:hAnsi="宋体"/>
                <w:b/>
                <w:highlight w:val="none"/>
              </w:rPr>
            </w:pPr>
            <w:r>
              <w:rPr>
                <w:rFonts w:hint="eastAsia" w:ascii="宋体" w:hAnsi="宋体"/>
                <w:b/>
                <w:highlight w:val="none"/>
              </w:rPr>
              <w:t>募集资金专用账号</w:t>
            </w:r>
          </w:p>
        </w:tc>
        <w:tc>
          <w:tcPr>
            <w:tcW w:w="1130" w:type="pct"/>
            <w:tcBorders>
              <w:top w:val="single" w:color="auto" w:sz="4" w:space="0"/>
              <w:left w:val="single" w:color="000000" w:sz="2" w:space="0"/>
              <w:bottom w:val="single" w:color="000000" w:sz="2" w:space="0"/>
              <w:right w:val="single" w:color="auto" w:sz="4" w:space="0"/>
              <w:tl2br w:val="nil"/>
              <w:tr2bl w:val="nil"/>
            </w:tcBorders>
            <w:vAlign w:val="center"/>
          </w:tcPr>
          <w:p w14:paraId="4244F854">
            <w:pPr>
              <w:spacing w:line="560" w:lineRule="exact"/>
              <w:jc w:val="center"/>
              <w:rPr>
                <w:rFonts w:asciiTheme="minorEastAsia" w:hAnsiTheme="minorEastAsia" w:eastAsiaTheme="minorEastAsia"/>
                <w:b/>
                <w:highlight w:val="none"/>
              </w:rPr>
            </w:pPr>
            <w:r>
              <w:rPr>
                <w:rFonts w:hint="eastAsia" w:cs="微软雅黑" w:asciiTheme="minorEastAsia" w:hAnsiTheme="minorEastAsia" w:eastAsiaTheme="minorEastAsia"/>
                <w:b/>
                <w:highlight w:val="none"/>
              </w:rPr>
              <w:t>账户状态</w:t>
            </w:r>
          </w:p>
        </w:tc>
      </w:tr>
      <w:tr w14:paraId="2D61063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102" w:hRule="atLeast"/>
          <w:jc w:val="center"/>
        </w:trPr>
        <w:tc>
          <w:tcPr>
            <w:tcW w:w="1195" w:type="pct"/>
            <w:tcBorders>
              <w:top w:val="single" w:color="000000" w:sz="2" w:space="0"/>
              <w:left w:val="single" w:color="auto" w:sz="4" w:space="0"/>
              <w:bottom w:val="single" w:color="000000" w:sz="2" w:space="0"/>
              <w:right w:val="single" w:color="000000" w:sz="2" w:space="0"/>
              <w:tl2br w:val="nil"/>
              <w:tr2bl w:val="nil"/>
            </w:tcBorders>
            <w:vAlign w:val="center"/>
          </w:tcPr>
          <w:p w14:paraId="6003E671">
            <w:pPr>
              <w:spacing w:line="560" w:lineRule="exact"/>
              <w:jc w:val="center"/>
              <w:rPr>
                <w:rFonts w:hint="eastAsia" w:ascii="Times New Roman" w:hAnsi="Times New Roman" w:eastAsia="宋体"/>
                <w:b/>
                <w:highlight w:val="none"/>
                <w:lang w:val="en-US" w:eastAsia="zh-CN"/>
              </w:rPr>
            </w:pPr>
            <w:r>
              <w:rPr>
                <w:rFonts w:hint="eastAsia" w:ascii="Times New Roman" w:hAnsi="Times New Roman"/>
                <w:highlight w:val="none"/>
                <w:lang w:val="en-US" w:eastAsia="zh-CN"/>
              </w:rPr>
              <w:t>智控设备及金属制品智能工厂建设项目（一期）</w:t>
            </w:r>
          </w:p>
        </w:tc>
        <w:tc>
          <w:tcPr>
            <w:tcW w:w="1295" w:type="pct"/>
            <w:tcBorders>
              <w:top w:val="single" w:color="000000" w:sz="2" w:space="0"/>
              <w:left w:val="single" w:color="000000" w:sz="2" w:space="0"/>
              <w:bottom w:val="single" w:color="000000" w:sz="2" w:space="0"/>
              <w:right w:val="single" w:color="000000" w:sz="2" w:space="0"/>
              <w:tl2br w:val="nil"/>
              <w:tr2bl w:val="nil"/>
            </w:tcBorders>
            <w:vAlign w:val="center"/>
          </w:tcPr>
          <w:p w14:paraId="22CC6B24">
            <w:pPr>
              <w:spacing w:line="560" w:lineRule="exact"/>
              <w:jc w:val="center"/>
              <w:rPr>
                <w:rFonts w:ascii="Times New Roman" w:hAnsi="Times New Roman"/>
                <w:highlight w:val="none"/>
              </w:rPr>
            </w:pPr>
            <w:r>
              <w:rPr>
                <w:rFonts w:hint="eastAsia" w:ascii="Times New Roman" w:hAnsi="Times New Roman"/>
                <w:highlight w:val="none"/>
              </w:rPr>
              <w:t>哈尔滨银行股份有限公司重庆分行</w:t>
            </w:r>
          </w:p>
        </w:tc>
        <w:tc>
          <w:tcPr>
            <w:tcW w:w="1378" w:type="pct"/>
            <w:tcBorders>
              <w:top w:val="single" w:color="000000" w:sz="2" w:space="0"/>
              <w:left w:val="single" w:color="000000" w:sz="2" w:space="0"/>
              <w:bottom w:val="single" w:color="000000" w:sz="2" w:space="0"/>
              <w:right w:val="single" w:color="auto" w:sz="4" w:space="0"/>
              <w:tl2br w:val="nil"/>
              <w:tr2bl w:val="nil"/>
            </w:tcBorders>
            <w:vAlign w:val="center"/>
          </w:tcPr>
          <w:p w14:paraId="773D8D42">
            <w:pPr>
              <w:jc w:val="center"/>
              <w:rPr>
                <w:rFonts w:hint="eastAsia"/>
                <w:highlight w:val="none"/>
              </w:rPr>
            </w:pPr>
            <w:r>
              <w:rPr>
                <w:rFonts w:hint="eastAsia" w:ascii="宋体" w:hAnsi="宋体"/>
                <w:highlight w:val="none"/>
              </w:rPr>
              <w:t>18010000001689409</w:t>
            </w:r>
          </w:p>
        </w:tc>
        <w:tc>
          <w:tcPr>
            <w:tcW w:w="1130" w:type="pct"/>
            <w:tcBorders>
              <w:top w:val="single" w:color="000000" w:sz="2" w:space="0"/>
              <w:left w:val="single" w:color="000000" w:sz="2" w:space="0"/>
              <w:bottom w:val="single" w:color="000000" w:sz="2" w:space="0"/>
              <w:right w:val="single" w:color="auto" w:sz="4" w:space="0"/>
              <w:tl2br w:val="nil"/>
              <w:tr2bl w:val="nil"/>
            </w:tcBorders>
            <w:vAlign w:val="center"/>
          </w:tcPr>
          <w:p w14:paraId="2FE2348D">
            <w:pPr>
              <w:spacing w:line="560" w:lineRule="exact"/>
              <w:jc w:val="center"/>
              <w:rPr>
                <w:rFonts w:asciiTheme="minorEastAsia" w:hAnsiTheme="minorEastAsia" w:eastAsiaTheme="minorEastAsia"/>
                <w:highlight w:val="none"/>
              </w:rPr>
            </w:pPr>
            <w:r>
              <w:rPr>
                <w:rFonts w:hint="eastAsia" w:asciiTheme="minorEastAsia" w:hAnsiTheme="minorEastAsia" w:eastAsiaTheme="minorEastAsia"/>
                <w:highlight w:val="none"/>
              </w:rPr>
              <w:t>正在使用</w:t>
            </w:r>
          </w:p>
        </w:tc>
      </w:tr>
      <w:tr w14:paraId="6C6F849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102" w:hRule="atLeast"/>
          <w:jc w:val="center"/>
        </w:trPr>
        <w:tc>
          <w:tcPr>
            <w:tcW w:w="1195" w:type="pct"/>
            <w:tcBorders>
              <w:top w:val="single" w:color="000000" w:sz="2" w:space="0"/>
              <w:left w:val="single" w:color="auto" w:sz="4" w:space="0"/>
              <w:bottom w:val="single" w:color="000000" w:sz="2" w:space="0"/>
              <w:right w:val="single" w:color="000000" w:sz="2" w:space="0"/>
              <w:tl2br w:val="nil"/>
              <w:tr2bl w:val="nil"/>
            </w:tcBorders>
            <w:vAlign w:val="center"/>
          </w:tcPr>
          <w:p w14:paraId="73737516">
            <w:pPr>
              <w:spacing w:line="560" w:lineRule="exact"/>
              <w:jc w:val="center"/>
              <w:rPr>
                <w:rFonts w:ascii="Times New Roman" w:hAnsi="Times New Roman"/>
                <w:b/>
                <w:highlight w:val="none"/>
              </w:rPr>
            </w:pPr>
            <w:r>
              <w:rPr>
                <w:rFonts w:ascii="Times New Roman" w:hAnsi="Times New Roman"/>
                <w:highlight w:val="none"/>
              </w:rPr>
              <w:t>110kV</w:t>
            </w:r>
            <w:r>
              <w:rPr>
                <w:rFonts w:hint="eastAsia" w:ascii="Times New Roman" w:hAnsi="Times New Roman"/>
                <w:highlight w:val="none"/>
              </w:rPr>
              <w:t>及以下节能型变压器智能化工厂技改项目</w:t>
            </w:r>
          </w:p>
        </w:tc>
        <w:tc>
          <w:tcPr>
            <w:tcW w:w="1295" w:type="pct"/>
            <w:tcBorders>
              <w:top w:val="single" w:color="000000" w:sz="2" w:space="0"/>
              <w:left w:val="single" w:color="000000" w:sz="2" w:space="0"/>
              <w:bottom w:val="single" w:color="000000" w:sz="2" w:space="0"/>
              <w:right w:val="single" w:color="000000" w:sz="2" w:space="0"/>
              <w:tl2br w:val="nil"/>
              <w:tr2bl w:val="nil"/>
            </w:tcBorders>
            <w:vAlign w:val="center"/>
          </w:tcPr>
          <w:p w14:paraId="3B18AE62">
            <w:pPr>
              <w:spacing w:line="560" w:lineRule="exact"/>
              <w:jc w:val="center"/>
              <w:rPr>
                <w:rFonts w:ascii="Times New Roman" w:hAnsi="Times New Roman"/>
                <w:highlight w:val="none"/>
              </w:rPr>
            </w:pPr>
            <w:r>
              <w:rPr>
                <w:rFonts w:hint="eastAsia" w:ascii="Times New Roman" w:hAnsi="Times New Roman"/>
                <w:highlight w:val="none"/>
              </w:rPr>
              <w:t>重庆三峡银行股份有限公司长寿支行</w:t>
            </w:r>
          </w:p>
        </w:tc>
        <w:tc>
          <w:tcPr>
            <w:tcW w:w="1378" w:type="pct"/>
            <w:tcBorders>
              <w:top w:val="single" w:color="000000" w:sz="2" w:space="0"/>
              <w:left w:val="single" w:color="000000" w:sz="2" w:space="0"/>
              <w:bottom w:val="single" w:color="000000" w:sz="2" w:space="0"/>
              <w:right w:val="single" w:color="auto" w:sz="4" w:space="0"/>
              <w:tl2br w:val="nil"/>
              <w:tr2bl w:val="nil"/>
            </w:tcBorders>
            <w:vAlign w:val="center"/>
          </w:tcPr>
          <w:p w14:paraId="05442851">
            <w:pPr>
              <w:spacing w:line="560" w:lineRule="exact"/>
              <w:jc w:val="center"/>
              <w:rPr>
                <w:rFonts w:ascii="Times New Roman" w:hAnsi="Times New Roman"/>
                <w:highlight w:val="none"/>
              </w:rPr>
            </w:pPr>
            <w:r>
              <w:rPr>
                <w:rFonts w:ascii="Times New Roman" w:hAnsi="Times New Roman"/>
                <w:highlight w:val="none"/>
              </w:rPr>
              <w:t>0153016820000020</w:t>
            </w:r>
          </w:p>
        </w:tc>
        <w:tc>
          <w:tcPr>
            <w:tcW w:w="1130" w:type="pct"/>
            <w:tcBorders>
              <w:top w:val="single" w:color="000000" w:sz="2" w:space="0"/>
              <w:left w:val="single" w:color="000000" w:sz="2" w:space="0"/>
              <w:bottom w:val="single" w:color="000000" w:sz="2" w:space="0"/>
              <w:right w:val="single" w:color="auto" w:sz="4" w:space="0"/>
              <w:tl2br w:val="nil"/>
              <w:tr2bl w:val="nil"/>
            </w:tcBorders>
            <w:vAlign w:val="center"/>
          </w:tcPr>
          <w:p w14:paraId="6E06E963">
            <w:pPr>
              <w:spacing w:line="560" w:lineRule="exact"/>
              <w:jc w:val="center"/>
              <w:rPr>
                <w:rFonts w:hint="default"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本次注销</w:t>
            </w:r>
          </w:p>
        </w:tc>
      </w:tr>
      <w:tr w14:paraId="6772DF3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102" w:hRule="atLeast"/>
          <w:jc w:val="center"/>
        </w:trPr>
        <w:tc>
          <w:tcPr>
            <w:tcW w:w="1195" w:type="pct"/>
            <w:tcBorders>
              <w:top w:val="single" w:color="000000" w:sz="2" w:space="0"/>
              <w:left w:val="single" w:color="auto" w:sz="4" w:space="0"/>
              <w:bottom w:val="single" w:color="000000" w:sz="2" w:space="0"/>
              <w:right w:val="single" w:color="000000" w:sz="2" w:space="0"/>
              <w:tl2br w:val="nil"/>
              <w:tr2bl w:val="nil"/>
            </w:tcBorders>
            <w:vAlign w:val="center"/>
          </w:tcPr>
          <w:p w14:paraId="4E04B63D">
            <w:pPr>
              <w:spacing w:line="560" w:lineRule="exact"/>
              <w:jc w:val="center"/>
              <w:rPr>
                <w:rFonts w:ascii="Times New Roman" w:hAnsi="Times New Roman"/>
                <w:b/>
                <w:highlight w:val="none"/>
              </w:rPr>
            </w:pPr>
            <w:r>
              <w:rPr>
                <w:rFonts w:hint="eastAsia" w:ascii="Times New Roman" w:hAnsi="Times New Roman"/>
                <w:highlight w:val="none"/>
              </w:rPr>
              <w:t>研发中心及信息化建设项目</w:t>
            </w:r>
          </w:p>
        </w:tc>
        <w:tc>
          <w:tcPr>
            <w:tcW w:w="1295" w:type="pct"/>
            <w:tcBorders>
              <w:top w:val="single" w:color="000000" w:sz="2" w:space="0"/>
              <w:left w:val="single" w:color="000000" w:sz="2" w:space="0"/>
              <w:bottom w:val="single" w:color="000000" w:sz="2" w:space="0"/>
              <w:right w:val="single" w:color="000000" w:sz="2" w:space="0"/>
              <w:tl2br w:val="nil"/>
              <w:tr2bl w:val="nil"/>
            </w:tcBorders>
            <w:vAlign w:val="center"/>
          </w:tcPr>
          <w:p w14:paraId="7176EAC3">
            <w:pPr>
              <w:spacing w:line="560" w:lineRule="exact"/>
              <w:jc w:val="center"/>
              <w:rPr>
                <w:rFonts w:ascii="Times New Roman" w:hAnsi="Times New Roman"/>
                <w:highlight w:val="none"/>
              </w:rPr>
            </w:pPr>
            <w:r>
              <w:rPr>
                <w:rFonts w:hint="eastAsia" w:ascii="Times New Roman" w:hAnsi="Times New Roman"/>
                <w:highlight w:val="none"/>
              </w:rPr>
              <w:t>浦发银行重庆长寿支行</w:t>
            </w:r>
          </w:p>
        </w:tc>
        <w:tc>
          <w:tcPr>
            <w:tcW w:w="1378" w:type="pct"/>
            <w:tcBorders>
              <w:top w:val="single" w:color="000000" w:sz="2" w:space="0"/>
              <w:left w:val="single" w:color="000000" w:sz="2" w:space="0"/>
              <w:bottom w:val="single" w:color="000000" w:sz="2" w:space="0"/>
              <w:right w:val="single" w:color="auto" w:sz="4" w:space="0"/>
              <w:tl2br w:val="nil"/>
              <w:tr2bl w:val="nil"/>
            </w:tcBorders>
            <w:vAlign w:val="center"/>
          </w:tcPr>
          <w:p w14:paraId="37BB3E15">
            <w:pPr>
              <w:spacing w:line="560" w:lineRule="exact"/>
              <w:jc w:val="center"/>
              <w:rPr>
                <w:rFonts w:ascii="Times New Roman" w:hAnsi="Times New Roman"/>
                <w:highlight w:val="none"/>
              </w:rPr>
            </w:pPr>
            <w:r>
              <w:rPr>
                <w:rFonts w:ascii="Times New Roman" w:hAnsi="Times New Roman"/>
                <w:highlight w:val="none"/>
              </w:rPr>
              <w:t>83260078801700000608</w:t>
            </w:r>
          </w:p>
        </w:tc>
        <w:tc>
          <w:tcPr>
            <w:tcW w:w="1130" w:type="pct"/>
            <w:tcBorders>
              <w:top w:val="single" w:color="000000" w:sz="2" w:space="0"/>
              <w:left w:val="single" w:color="000000" w:sz="2" w:space="0"/>
              <w:bottom w:val="single" w:color="000000" w:sz="2" w:space="0"/>
              <w:right w:val="single" w:color="auto" w:sz="4" w:space="0"/>
              <w:tl2br w:val="nil"/>
              <w:tr2bl w:val="nil"/>
            </w:tcBorders>
            <w:vAlign w:val="center"/>
          </w:tcPr>
          <w:p w14:paraId="07815B6B">
            <w:pPr>
              <w:spacing w:line="560" w:lineRule="exact"/>
              <w:jc w:val="center"/>
              <w:rPr>
                <w:rFonts w:hint="default"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本次注销</w:t>
            </w:r>
          </w:p>
        </w:tc>
      </w:tr>
      <w:tr w14:paraId="3441EB7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102" w:hRule="atLeast"/>
          <w:jc w:val="center"/>
        </w:trPr>
        <w:tc>
          <w:tcPr>
            <w:tcW w:w="1195" w:type="pct"/>
            <w:tcBorders>
              <w:top w:val="single" w:color="000000" w:sz="2" w:space="0"/>
              <w:left w:val="single" w:color="auto" w:sz="4" w:space="0"/>
              <w:bottom w:val="single" w:color="000000" w:sz="2" w:space="0"/>
              <w:right w:val="single" w:color="000000" w:sz="2" w:space="0"/>
              <w:tl2br w:val="nil"/>
              <w:tr2bl w:val="nil"/>
            </w:tcBorders>
            <w:vAlign w:val="center"/>
          </w:tcPr>
          <w:p w14:paraId="4147CE8A">
            <w:pPr>
              <w:spacing w:line="560" w:lineRule="exact"/>
              <w:jc w:val="center"/>
              <w:rPr>
                <w:rFonts w:hint="eastAsia" w:ascii="Times New Roman" w:hAnsi="Times New Roman" w:eastAsia="宋体" w:cs="Times New Roman"/>
                <w:b/>
                <w:kern w:val="2"/>
                <w:sz w:val="21"/>
                <w:szCs w:val="21"/>
                <w:highlight w:val="none"/>
                <w:lang w:val="en-US" w:eastAsia="zh-CN" w:bidi="ar-SA"/>
              </w:rPr>
            </w:pPr>
            <w:r>
              <w:rPr>
                <w:rFonts w:hint="eastAsia" w:ascii="Times New Roman" w:hAnsi="Times New Roman"/>
                <w:highlight w:val="none"/>
              </w:rPr>
              <w:t>低铁损高磁感硅钢铁心智能制造项目</w:t>
            </w:r>
          </w:p>
        </w:tc>
        <w:tc>
          <w:tcPr>
            <w:tcW w:w="1295" w:type="pct"/>
            <w:tcBorders>
              <w:top w:val="single" w:color="000000" w:sz="2" w:space="0"/>
              <w:left w:val="single" w:color="000000" w:sz="2" w:space="0"/>
              <w:bottom w:val="single" w:color="000000" w:sz="2" w:space="0"/>
              <w:right w:val="single" w:color="000000" w:sz="2" w:space="0"/>
              <w:tl2br w:val="nil"/>
              <w:tr2bl w:val="nil"/>
            </w:tcBorders>
            <w:vAlign w:val="center"/>
          </w:tcPr>
          <w:p w14:paraId="7D8B21C9">
            <w:pPr>
              <w:spacing w:line="560" w:lineRule="exact"/>
              <w:jc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highlight w:val="none"/>
              </w:rPr>
              <w:t>中信银行重庆分行营业部</w:t>
            </w:r>
          </w:p>
        </w:tc>
        <w:tc>
          <w:tcPr>
            <w:tcW w:w="1378" w:type="pct"/>
            <w:tcBorders>
              <w:top w:val="single" w:color="000000" w:sz="2" w:space="0"/>
              <w:left w:val="single" w:color="000000" w:sz="2" w:space="0"/>
              <w:bottom w:val="single" w:color="000000" w:sz="2" w:space="0"/>
              <w:right w:val="single" w:color="auto" w:sz="4" w:space="0"/>
              <w:tl2br w:val="nil"/>
              <w:tr2bl w:val="nil"/>
            </w:tcBorders>
            <w:vAlign w:val="center"/>
          </w:tcPr>
          <w:p w14:paraId="59FD3DB0">
            <w:pPr>
              <w:spacing w:line="560" w:lineRule="exact"/>
              <w:jc w:val="center"/>
              <w:rPr>
                <w:rFonts w:ascii="Times New Roman" w:hAnsi="Times New Roman" w:eastAsia="宋体" w:cs="Times New Roman"/>
                <w:kern w:val="2"/>
                <w:sz w:val="21"/>
                <w:szCs w:val="21"/>
                <w:highlight w:val="none"/>
                <w:lang w:val="en-US" w:eastAsia="zh-CN" w:bidi="ar-SA"/>
              </w:rPr>
            </w:pPr>
            <w:r>
              <w:rPr>
                <w:rFonts w:ascii="Times New Roman" w:hAnsi="Times New Roman"/>
                <w:highlight w:val="none"/>
              </w:rPr>
              <w:t>8111201012200530541</w:t>
            </w:r>
          </w:p>
        </w:tc>
        <w:tc>
          <w:tcPr>
            <w:tcW w:w="1130" w:type="pct"/>
            <w:tcBorders>
              <w:top w:val="single" w:color="000000" w:sz="2" w:space="0"/>
              <w:left w:val="single" w:color="000000" w:sz="2" w:space="0"/>
              <w:bottom w:val="single" w:color="000000" w:sz="2" w:space="0"/>
              <w:right w:val="single" w:color="auto" w:sz="4" w:space="0"/>
              <w:tl2br w:val="nil"/>
              <w:tr2bl w:val="nil"/>
            </w:tcBorders>
            <w:vAlign w:val="center"/>
          </w:tcPr>
          <w:p w14:paraId="42C2AAA7">
            <w:pPr>
              <w:spacing w:line="560" w:lineRule="exact"/>
              <w:jc w:val="center"/>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highlight w:val="none"/>
                <w:lang w:val="en-US" w:eastAsia="zh-CN"/>
              </w:rPr>
              <w:t>已注销</w:t>
            </w:r>
          </w:p>
        </w:tc>
      </w:tr>
      <w:tr w14:paraId="44C1DCA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102" w:hRule="atLeast"/>
          <w:jc w:val="center"/>
        </w:trPr>
        <w:tc>
          <w:tcPr>
            <w:tcW w:w="1195" w:type="pct"/>
            <w:tcBorders>
              <w:top w:val="single" w:color="000000" w:sz="2" w:space="0"/>
              <w:left w:val="single" w:color="auto" w:sz="4" w:space="0"/>
              <w:bottom w:val="single" w:color="000000" w:sz="2" w:space="0"/>
              <w:right w:val="single" w:color="000000" w:sz="2" w:space="0"/>
              <w:tl2br w:val="nil"/>
              <w:tr2bl w:val="nil"/>
            </w:tcBorders>
            <w:vAlign w:val="center"/>
          </w:tcPr>
          <w:p w14:paraId="134C35EC">
            <w:pPr>
              <w:spacing w:line="560" w:lineRule="exact"/>
              <w:jc w:val="center"/>
              <w:rPr>
                <w:rFonts w:hint="eastAsia" w:ascii="Times New Roman" w:hAnsi="Times New Roman"/>
                <w:highlight w:val="none"/>
              </w:rPr>
            </w:pPr>
            <w:r>
              <w:rPr>
                <w:rFonts w:hint="eastAsia" w:ascii="Times New Roman" w:hAnsi="Times New Roman"/>
                <w:highlight w:val="none"/>
              </w:rPr>
              <w:t>智能成套电气设备产业基地建设项目</w:t>
            </w:r>
          </w:p>
        </w:tc>
        <w:tc>
          <w:tcPr>
            <w:tcW w:w="1295" w:type="pct"/>
            <w:tcBorders>
              <w:top w:val="single" w:color="000000" w:sz="2" w:space="0"/>
              <w:left w:val="single" w:color="000000" w:sz="2" w:space="0"/>
              <w:bottom w:val="single" w:color="000000" w:sz="2" w:space="0"/>
              <w:right w:val="single" w:color="000000" w:sz="2" w:space="0"/>
              <w:tl2br w:val="nil"/>
              <w:tr2bl w:val="nil"/>
            </w:tcBorders>
            <w:vAlign w:val="center"/>
          </w:tcPr>
          <w:p w14:paraId="17E7A5A2">
            <w:pPr>
              <w:rPr>
                <w:rFonts w:hint="eastAsia"/>
                <w:highlight w:val="none"/>
              </w:rPr>
            </w:pPr>
            <w:r>
              <w:rPr>
                <w:rFonts w:ascii="宋体" w:hAnsi="宋体"/>
                <w:highlight w:val="none"/>
              </w:rPr>
              <w:t>招商银行重庆分行长寿支行</w:t>
            </w:r>
          </w:p>
        </w:tc>
        <w:tc>
          <w:tcPr>
            <w:tcW w:w="1378" w:type="pct"/>
            <w:tcBorders>
              <w:top w:val="single" w:color="000000" w:sz="2" w:space="0"/>
              <w:left w:val="single" w:color="000000" w:sz="2" w:space="0"/>
              <w:bottom w:val="single" w:color="000000" w:sz="2" w:space="0"/>
              <w:right w:val="single" w:color="auto" w:sz="4" w:space="0"/>
              <w:tl2br w:val="nil"/>
              <w:tr2bl w:val="nil"/>
            </w:tcBorders>
            <w:vAlign w:val="center"/>
          </w:tcPr>
          <w:p w14:paraId="36D71234">
            <w:pPr>
              <w:jc w:val="center"/>
              <w:rPr>
                <w:rFonts w:hint="eastAsia"/>
                <w:highlight w:val="none"/>
              </w:rPr>
            </w:pPr>
            <w:r>
              <w:rPr>
                <w:rFonts w:ascii="Times New Roman" w:hAnsi="Times New Roman"/>
                <w:highlight w:val="none"/>
              </w:rPr>
              <w:t>123905910610303</w:t>
            </w:r>
          </w:p>
        </w:tc>
        <w:tc>
          <w:tcPr>
            <w:tcW w:w="1130" w:type="pct"/>
            <w:tcBorders>
              <w:top w:val="single" w:color="000000" w:sz="2" w:space="0"/>
              <w:left w:val="single" w:color="000000" w:sz="2" w:space="0"/>
              <w:bottom w:val="single" w:color="000000" w:sz="2" w:space="0"/>
              <w:right w:val="single" w:color="auto" w:sz="4" w:space="0"/>
              <w:tl2br w:val="nil"/>
              <w:tr2bl w:val="nil"/>
            </w:tcBorders>
            <w:vAlign w:val="center"/>
          </w:tcPr>
          <w:p w14:paraId="410B6ACC">
            <w:pPr>
              <w:spacing w:line="560" w:lineRule="exact"/>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已注销</w:t>
            </w:r>
          </w:p>
        </w:tc>
      </w:tr>
      <w:tr w14:paraId="77C7E37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108" w:type="dxa"/>
            <w:bottom w:w="0" w:type="dxa"/>
            <w:right w:w="108" w:type="dxa"/>
          </w:tblCellMar>
        </w:tblPrEx>
        <w:trPr>
          <w:trHeight w:val="102" w:hRule="atLeast"/>
          <w:jc w:val="center"/>
        </w:trPr>
        <w:tc>
          <w:tcPr>
            <w:tcW w:w="1195" w:type="pct"/>
            <w:tcBorders>
              <w:top w:val="single" w:color="000000" w:sz="2" w:space="0"/>
              <w:left w:val="single" w:color="auto" w:sz="4" w:space="0"/>
              <w:bottom w:val="single" w:color="auto" w:sz="4" w:space="0"/>
              <w:right w:val="single" w:color="000000" w:sz="2" w:space="0"/>
              <w:tl2br w:val="nil"/>
              <w:tr2bl w:val="nil"/>
            </w:tcBorders>
            <w:vAlign w:val="center"/>
          </w:tcPr>
          <w:p w14:paraId="7F56F5CF">
            <w:pPr>
              <w:spacing w:line="560" w:lineRule="exact"/>
              <w:jc w:val="center"/>
              <w:rPr>
                <w:rFonts w:ascii="Times New Roman" w:hAnsi="Times New Roman"/>
                <w:b/>
                <w:highlight w:val="none"/>
              </w:rPr>
            </w:pPr>
            <w:r>
              <w:rPr>
                <w:rFonts w:hint="eastAsia" w:ascii="Times New Roman" w:hAnsi="Times New Roman"/>
                <w:highlight w:val="none"/>
              </w:rPr>
              <w:t>补充流动资金</w:t>
            </w:r>
          </w:p>
        </w:tc>
        <w:tc>
          <w:tcPr>
            <w:tcW w:w="1295" w:type="pct"/>
            <w:tcBorders>
              <w:top w:val="single" w:color="000000" w:sz="2" w:space="0"/>
              <w:left w:val="single" w:color="000000" w:sz="2" w:space="0"/>
              <w:bottom w:val="single" w:color="auto" w:sz="4" w:space="0"/>
              <w:right w:val="single" w:color="000000" w:sz="2" w:space="0"/>
              <w:tl2br w:val="nil"/>
              <w:tr2bl w:val="nil"/>
            </w:tcBorders>
            <w:vAlign w:val="center"/>
          </w:tcPr>
          <w:p w14:paraId="1195F610">
            <w:pPr>
              <w:spacing w:line="560" w:lineRule="exact"/>
              <w:jc w:val="center"/>
              <w:rPr>
                <w:rFonts w:ascii="Times New Roman" w:hAnsi="Times New Roman"/>
                <w:highlight w:val="none"/>
              </w:rPr>
            </w:pPr>
            <w:r>
              <w:rPr>
                <w:rFonts w:hint="eastAsia" w:ascii="Times New Roman" w:hAnsi="Times New Roman"/>
                <w:highlight w:val="none"/>
              </w:rPr>
              <w:t>中国农业银行股份有限公司重庆长寿支行</w:t>
            </w:r>
          </w:p>
        </w:tc>
        <w:tc>
          <w:tcPr>
            <w:tcW w:w="1378" w:type="pct"/>
            <w:tcBorders>
              <w:top w:val="single" w:color="000000" w:sz="2" w:space="0"/>
              <w:left w:val="single" w:color="000000" w:sz="2" w:space="0"/>
              <w:bottom w:val="single" w:color="auto" w:sz="4" w:space="0"/>
              <w:right w:val="single" w:color="auto" w:sz="4" w:space="0"/>
              <w:tl2br w:val="nil"/>
              <w:tr2bl w:val="nil"/>
            </w:tcBorders>
            <w:vAlign w:val="center"/>
          </w:tcPr>
          <w:p w14:paraId="48E8E1C3">
            <w:pPr>
              <w:spacing w:line="560" w:lineRule="exact"/>
              <w:jc w:val="center"/>
              <w:rPr>
                <w:rFonts w:ascii="Times New Roman" w:hAnsi="Times New Roman"/>
                <w:highlight w:val="none"/>
              </w:rPr>
            </w:pPr>
            <w:r>
              <w:rPr>
                <w:rFonts w:ascii="Times New Roman" w:hAnsi="Times New Roman"/>
                <w:highlight w:val="none"/>
              </w:rPr>
              <w:t>31130101040017435</w:t>
            </w:r>
          </w:p>
        </w:tc>
        <w:tc>
          <w:tcPr>
            <w:tcW w:w="1130" w:type="pct"/>
            <w:tcBorders>
              <w:top w:val="single" w:color="000000" w:sz="2" w:space="0"/>
              <w:left w:val="single" w:color="000000" w:sz="2" w:space="0"/>
              <w:bottom w:val="single" w:color="auto" w:sz="4" w:space="0"/>
              <w:right w:val="single" w:color="auto" w:sz="4" w:space="0"/>
              <w:tl2br w:val="nil"/>
              <w:tr2bl w:val="nil"/>
            </w:tcBorders>
            <w:vAlign w:val="center"/>
          </w:tcPr>
          <w:p w14:paraId="70D0899D">
            <w:pPr>
              <w:spacing w:line="560" w:lineRule="exact"/>
              <w:jc w:val="center"/>
              <w:rPr>
                <w:rFonts w:hint="eastAsia" w:asciiTheme="minorEastAsia" w:hAnsiTheme="minorEastAsia" w:eastAsiaTheme="minorEastAsia"/>
                <w:highlight w:val="none"/>
                <w:lang w:eastAsia="zh-CN"/>
              </w:rPr>
            </w:pPr>
            <w:r>
              <w:rPr>
                <w:rFonts w:hint="eastAsia" w:asciiTheme="minorEastAsia" w:hAnsiTheme="minorEastAsia" w:eastAsiaTheme="minorEastAsia"/>
                <w:highlight w:val="none"/>
                <w:lang w:val="en-US" w:eastAsia="zh-CN"/>
              </w:rPr>
              <w:t>已注销</w:t>
            </w:r>
          </w:p>
        </w:tc>
      </w:tr>
    </w:tbl>
    <w:p w14:paraId="0C2DC5D1">
      <w:pPr>
        <w:pStyle w:val="10"/>
        <w:rPr>
          <w:rFonts w:hint="default"/>
          <w:highlight w:val="none"/>
        </w:rPr>
      </w:pPr>
    </w:p>
    <w:p w14:paraId="448504FD">
      <w:pPr>
        <w:spacing w:line="68" w:lineRule="exact"/>
        <w:rPr>
          <w:highlight w:val="none"/>
        </w:rPr>
      </w:pPr>
    </w:p>
    <w:p w14:paraId="01F8E521">
      <w:pPr>
        <w:spacing w:before="112" w:line="237" w:lineRule="auto"/>
        <w:ind w:left="604"/>
        <w:outlineLvl w:val="0"/>
        <w:rPr>
          <w:rFonts w:ascii="宋体" w:hAnsi="宋体" w:cs="宋体"/>
          <w:sz w:val="24"/>
          <w:szCs w:val="24"/>
          <w:highlight w:val="none"/>
        </w:rPr>
      </w:pPr>
      <w:r>
        <w:rPr>
          <w:rFonts w:ascii="宋体" w:hAnsi="宋体" w:cs="宋体"/>
          <w:spacing w:val="1"/>
          <w:sz w:val="24"/>
          <w:szCs w:val="24"/>
          <w:highlight w:val="none"/>
          <w14:textOutline w14:w="4356" w14:cap="flat" w14:cmpd="sng" w14:algn="ctr">
            <w14:solidFill>
              <w14:srgbClr w14:val="000000"/>
            </w14:solidFill>
            <w14:prstDash w14:val="solid"/>
            <w14:miter w14:val="0"/>
          </w14:textOutline>
        </w:rPr>
        <w:t>三、本次募</w:t>
      </w:r>
      <w:r>
        <w:rPr>
          <w:rFonts w:ascii="宋体" w:hAnsi="宋体" w:cs="宋体"/>
          <w:sz w:val="24"/>
          <w:szCs w:val="24"/>
          <w:highlight w:val="none"/>
          <w14:textOutline w14:w="4356" w14:cap="flat" w14:cmpd="sng" w14:algn="ctr">
            <w14:solidFill>
              <w14:srgbClr w14:val="000000"/>
            </w14:solidFill>
            <w14:prstDash w14:val="solid"/>
            <w14:miter w14:val="0"/>
          </w14:textOutline>
        </w:rPr>
        <w:t>集资金账户注销情况</w:t>
      </w:r>
    </w:p>
    <w:p w14:paraId="254E3701">
      <w:pPr>
        <w:spacing w:before="160" w:line="366" w:lineRule="auto"/>
        <w:ind w:left="132" w:right="115" w:firstLine="472"/>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2024年11月26日公司召开了第四届董事会第九次会议和第四届监事会第八次会议审议通过了《关于部分募投项目结项并将节余募集资金用于其他募投项目的议案》，根据议案内容，公司已于近期将智能成套电气设备产业基地建设项目、110kV及以下节能型变压器智能化工厂技改项目、研发中心及信息化建设项目进行了结项，并将上述项目的结余资金转入智控设备及金属制品智能工厂建设项目（一期）募集资金专户使用。</w:t>
      </w:r>
    </w:p>
    <w:p w14:paraId="2A5576D7">
      <w:pPr>
        <w:spacing w:before="160" w:line="366" w:lineRule="auto"/>
        <w:ind w:left="132" w:right="115" w:firstLine="472"/>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截至本公告披露之日，公司已将110kV及以下节能型变压器智能化工厂技改项目资金账户重庆三峡银行股份有限公司长寿支行和研发中心及信息化建设项目资金账户浦发银行重庆长寿支行进行了注销，上述项目资金账户余额为零。注销后公司与该行及保荐代表人签署的募集资金监管协议相应终止。</w:t>
      </w:r>
    </w:p>
    <w:p w14:paraId="48A7A8E9">
      <w:pPr>
        <w:spacing w:line="365" w:lineRule="auto"/>
      </w:pPr>
    </w:p>
    <w:p w14:paraId="467D128F">
      <w:pPr>
        <w:tabs>
          <w:tab w:val="center" w:pos="4568"/>
        </w:tabs>
        <w:spacing w:before="78" w:line="218" w:lineRule="auto"/>
        <w:ind w:left="602"/>
        <w:rPr>
          <w:rFonts w:ascii="宋体" w:hAnsi="宋体" w:cs="宋体"/>
          <w:sz w:val="24"/>
          <w:szCs w:val="24"/>
        </w:rPr>
      </w:pPr>
      <w:r>
        <w:rPr>
          <w:rFonts w:ascii="宋体" w:hAnsi="宋体" w:cs="宋体"/>
          <w:spacing w:val="-8"/>
          <w:sz w:val="24"/>
          <w:szCs w:val="24"/>
        </w:rPr>
        <w:t>特</w:t>
      </w:r>
      <w:r>
        <w:rPr>
          <w:rFonts w:ascii="宋体" w:hAnsi="宋体" w:cs="宋体"/>
          <w:spacing w:val="-7"/>
          <w:sz w:val="24"/>
          <w:szCs w:val="24"/>
        </w:rPr>
        <w:t>此公告。</w:t>
      </w:r>
      <w:r>
        <w:rPr>
          <w:rFonts w:ascii="宋体" w:hAnsi="宋体" w:cs="宋体"/>
          <w:spacing w:val="-7"/>
          <w:sz w:val="24"/>
          <w:szCs w:val="24"/>
        </w:rPr>
        <w:tab/>
      </w:r>
    </w:p>
    <w:p w14:paraId="761C2EC3">
      <w:pPr>
        <w:spacing w:line="258" w:lineRule="auto"/>
      </w:pPr>
    </w:p>
    <w:p w14:paraId="73C7E330">
      <w:pPr>
        <w:spacing w:line="259" w:lineRule="auto"/>
      </w:pPr>
    </w:p>
    <w:p w14:paraId="3A760007">
      <w:pPr>
        <w:spacing w:line="259" w:lineRule="auto"/>
      </w:pPr>
    </w:p>
    <w:p w14:paraId="292F2DA0">
      <w:pPr>
        <w:spacing w:line="259" w:lineRule="auto"/>
      </w:pPr>
    </w:p>
    <w:p w14:paraId="1FCADE5A">
      <w:pPr>
        <w:spacing w:before="78" w:line="369" w:lineRule="auto"/>
        <w:ind w:right="112"/>
        <w:jc w:val="right"/>
        <w:rPr>
          <w:rFonts w:ascii="宋体" w:hAnsi="宋体" w:cs="宋体"/>
          <w:sz w:val="24"/>
          <w:szCs w:val="24"/>
        </w:rPr>
      </w:pPr>
      <w:r>
        <w:rPr>
          <w:rFonts w:hint="eastAsia" w:ascii="宋体" w:hAnsi="宋体" w:cs="宋体"/>
          <w:spacing w:val="-1"/>
          <w:sz w:val="24"/>
          <w:szCs w:val="24"/>
        </w:rPr>
        <w:t>重庆望变电气（集团）</w:t>
      </w:r>
      <w:r>
        <w:rPr>
          <w:rFonts w:ascii="宋体" w:hAnsi="宋体" w:cs="宋体"/>
          <w:spacing w:val="-1"/>
          <w:sz w:val="24"/>
          <w:szCs w:val="24"/>
        </w:rPr>
        <w:t>股份有限公司</w:t>
      </w:r>
      <w:r>
        <w:rPr>
          <w:rFonts w:ascii="宋体" w:hAnsi="宋体" w:cs="宋体"/>
          <w:sz w:val="24"/>
          <w:szCs w:val="24"/>
        </w:rPr>
        <w:t>董事会</w:t>
      </w:r>
    </w:p>
    <w:p w14:paraId="1D61108A">
      <w:pPr>
        <w:spacing w:before="78" w:line="369" w:lineRule="auto"/>
        <w:ind w:right="112"/>
        <w:jc w:val="right"/>
        <w:rPr>
          <w:rFonts w:ascii="宋体" w:hAnsi="宋体" w:cs="宋体"/>
          <w:sz w:val="24"/>
          <w:szCs w:val="24"/>
          <w:highlight w:val="none"/>
        </w:rPr>
      </w:pPr>
      <w:r>
        <w:rPr>
          <w:rFonts w:ascii="宋体" w:hAnsi="宋体" w:cs="宋体"/>
          <w:spacing w:val="-26"/>
          <w:sz w:val="24"/>
          <w:szCs w:val="24"/>
          <w:highlight w:val="none"/>
        </w:rPr>
        <w:t>2</w:t>
      </w:r>
      <w:r>
        <w:rPr>
          <w:rFonts w:ascii="宋体" w:hAnsi="宋体" w:cs="宋体"/>
          <w:spacing w:val="-22"/>
          <w:sz w:val="24"/>
          <w:szCs w:val="24"/>
          <w:highlight w:val="none"/>
        </w:rPr>
        <w:t>02</w:t>
      </w:r>
      <w:r>
        <w:rPr>
          <w:rFonts w:hint="eastAsia" w:ascii="宋体" w:hAnsi="宋体" w:cs="宋体"/>
          <w:spacing w:val="-22"/>
          <w:sz w:val="24"/>
          <w:szCs w:val="24"/>
          <w:highlight w:val="none"/>
          <w:lang w:val="en-US" w:eastAsia="zh-CN"/>
        </w:rPr>
        <w:t>5</w:t>
      </w:r>
      <w:r>
        <w:rPr>
          <w:rFonts w:ascii="宋体" w:hAnsi="宋体" w:cs="宋体"/>
          <w:spacing w:val="-22"/>
          <w:sz w:val="24"/>
          <w:szCs w:val="24"/>
          <w:highlight w:val="none"/>
        </w:rPr>
        <w:t>年</w:t>
      </w:r>
      <w:r>
        <w:rPr>
          <w:rFonts w:hint="eastAsia" w:ascii="宋体" w:hAnsi="宋体" w:cs="宋体"/>
          <w:spacing w:val="-22"/>
          <w:sz w:val="24"/>
          <w:szCs w:val="24"/>
          <w:highlight w:val="none"/>
          <w:lang w:val="en-US" w:eastAsia="zh-CN"/>
        </w:rPr>
        <w:t>1</w:t>
      </w:r>
      <w:r>
        <w:rPr>
          <w:rFonts w:ascii="宋体" w:hAnsi="宋体" w:cs="宋体"/>
          <w:spacing w:val="-22"/>
          <w:sz w:val="24"/>
          <w:szCs w:val="24"/>
          <w:highlight w:val="none"/>
        </w:rPr>
        <w:t>月</w:t>
      </w:r>
      <w:r>
        <w:rPr>
          <w:rFonts w:hint="eastAsia" w:ascii="宋体" w:hAnsi="宋体" w:cs="宋体"/>
          <w:spacing w:val="-22"/>
          <w:sz w:val="24"/>
          <w:szCs w:val="24"/>
          <w:highlight w:val="none"/>
          <w:lang w:val="en-US" w:eastAsia="zh-CN"/>
        </w:rPr>
        <w:t>2</w:t>
      </w:r>
      <w:r>
        <w:rPr>
          <w:rFonts w:hint="default" w:ascii="宋体" w:hAnsi="宋体" w:cs="宋体"/>
          <w:spacing w:val="-22"/>
          <w:sz w:val="24"/>
          <w:szCs w:val="24"/>
          <w:highlight w:val="none"/>
          <w:lang w:val="en-US" w:eastAsia="zh-CN"/>
        </w:rPr>
        <w:t>5</w:t>
      </w:r>
      <w:bookmarkStart w:id="0" w:name="_GoBack"/>
      <w:bookmarkEnd w:id="0"/>
      <w:r>
        <w:rPr>
          <w:rFonts w:ascii="宋体" w:hAnsi="宋体" w:cs="宋体"/>
          <w:spacing w:val="-22"/>
          <w:sz w:val="24"/>
          <w:szCs w:val="24"/>
          <w:highlight w:val="none"/>
        </w:rPr>
        <w:t>日</w:t>
      </w:r>
    </w:p>
    <w:sectPr>
      <w:pgSz w:w="11907" w:h="16839"/>
      <w:pgMar w:top="1431" w:right="1685" w:bottom="0" w:left="16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D0FD0D"/>
    <w:multiLevelType w:val="singleLevel"/>
    <w:tmpl w:val="D8D0FD0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ZTQzZmRmZDMxMjkwMDE2NTk0ZWQ1ZWYwMzRmYjVhNmUifQ=="/>
  </w:docVars>
  <w:rsids>
    <w:rsidRoot w:val="00172A27"/>
    <w:rsid w:val="00172A27"/>
    <w:rsid w:val="00180BD5"/>
    <w:rsid w:val="001D2465"/>
    <w:rsid w:val="001D7814"/>
    <w:rsid w:val="002B0B55"/>
    <w:rsid w:val="002B27D3"/>
    <w:rsid w:val="002F79FA"/>
    <w:rsid w:val="003235CA"/>
    <w:rsid w:val="005E44BB"/>
    <w:rsid w:val="00662653"/>
    <w:rsid w:val="00693469"/>
    <w:rsid w:val="006D7375"/>
    <w:rsid w:val="008212DB"/>
    <w:rsid w:val="008A6FAA"/>
    <w:rsid w:val="008C533F"/>
    <w:rsid w:val="009937DC"/>
    <w:rsid w:val="009D0725"/>
    <w:rsid w:val="00BD2023"/>
    <w:rsid w:val="00C0533F"/>
    <w:rsid w:val="00C12339"/>
    <w:rsid w:val="00CC1258"/>
    <w:rsid w:val="00CD7485"/>
    <w:rsid w:val="00D35B3A"/>
    <w:rsid w:val="00D66B14"/>
    <w:rsid w:val="00E45A81"/>
    <w:rsid w:val="01D57BD1"/>
    <w:rsid w:val="08D80E2E"/>
    <w:rsid w:val="0FDF7EE3"/>
    <w:rsid w:val="1C900FFB"/>
    <w:rsid w:val="294A5E46"/>
    <w:rsid w:val="3C5045F8"/>
    <w:rsid w:val="4C2E3392"/>
    <w:rsid w:val="5075114E"/>
    <w:rsid w:val="5AE74606"/>
    <w:rsid w:val="5C5D127E"/>
    <w:rsid w:val="5CA37379"/>
    <w:rsid w:val="60C77B8B"/>
    <w:rsid w:val="63306094"/>
    <w:rsid w:val="6838670D"/>
    <w:rsid w:val="695C44AA"/>
    <w:rsid w:val="6C32242C"/>
    <w:rsid w:val="72D003C4"/>
    <w:rsid w:val="766F6899"/>
    <w:rsid w:val="77292904"/>
    <w:rsid w:val="7A8E3135"/>
    <w:rsid w:val="7B962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qFormat/>
    <w:uiPriority w:val="0"/>
  </w:style>
  <w:style w:type="paragraph" w:styleId="3">
    <w:name w:val="Balloon Text"/>
    <w:basedOn w:val="1"/>
    <w:link w:val="14"/>
    <w:qFormat/>
    <w:uiPriority w:val="0"/>
    <w:rPr>
      <w:sz w:val="18"/>
      <w:szCs w:val="18"/>
    </w:rPr>
  </w:style>
  <w:style w:type="paragraph" w:styleId="4">
    <w:name w:val="footer"/>
    <w:basedOn w:val="1"/>
    <w:unhideWhenUsed/>
    <w:qFormat/>
    <w:uiPriority w:val="99"/>
    <w:pPr>
      <w:tabs>
        <w:tab w:val="center" w:pos="4153"/>
        <w:tab w:val="right" w:pos="8306"/>
      </w:tabs>
    </w:pPr>
    <w:rPr>
      <w:sz w:val="18"/>
      <w:szCs w:val="18"/>
    </w:rPr>
  </w:style>
  <w:style w:type="paragraph" w:styleId="5">
    <w:name w:val="annotation subject"/>
    <w:basedOn w:val="2"/>
    <w:next w:val="2"/>
    <w:link w:val="13"/>
    <w:qFormat/>
    <w:uiPriority w:val="0"/>
    <w:rPr>
      <w:b/>
      <w:bCs/>
    </w:rPr>
  </w:style>
  <w:style w:type="character" w:styleId="8">
    <w:name w:val="annotation reference"/>
    <w:basedOn w:val="7"/>
    <w:qFormat/>
    <w:uiPriority w:val="0"/>
    <w:rPr>
      <w:sz w:val="21"/>
      <w:szCs w:val="21"/>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Default"/>
    <w:unhideWhenUsed/>
    <w:qFormat/>
    <w:uiPriority w:val="0"/>
    <w:pPr>
      <w:widowControl w:val="0"/>
      <w:autoSpaceDE w:val="0"/>
      <w:autoSpaceDN w:val="0"/>
      <w:adjustRightInd w:val="0"/>
    </w:pPr>
    <w:rPr>
      <w:rFonts w:hint="eastAsia" w:ascii="宋体" w:hAnsi="Calibri" w:eastAsia="宋体" w:cs="宋体"/>
      <w:color w:val="000000"/>
      <w:sz w:val="24"/>
      <w:szCs w:val="24"/>
      <w:lang w:val="en-US" w:eastAsia="zh-CN" w:bidi="ar-SA"/>
    </w:rPr>
  </w:style>
  <w:style w:type="paragraph" w:customStyle="1" w:styleId="11">
    <w:name w:val="Revision"/>
    <w:hidden/>
    <w:unhideWhenUsed/>
    <w:qFormat/>
    <w:uiPriority w:val="99"/>
    <w:rPr>
      <w:rFonts w:ascii="Arial" w:hAnsi="Arial" w:eastAsia="Arial" w:cs="Arial"/>
      <w:snapToGrid w:val="0"/>
      <w:color w:val="000000"/>
      <w:sz w:val="21"/>
      <w:szCs w:val="21"/>
      <w:lang w:val="en-US" w:eastAsia="zh-CN" w:bidi="ar-SA"/>
    </w:rPr>
  </w:style>
  <w:style w:type="character" w:customStyle="1" w:styleId="12">
    <w:name w:val="批注文字 Char"/>
    <w:basedOn w:val="7"/>
    <w:link w:val="2"/>
    <w:qFormat/>
    <w:uiPriority w:val="0"/>
    <w:rPr>
      <w:rFonts w:eastAsia="Arial"/>
      <w:snapToGrid w:val="0"/>
      <w:color w:val="000000"/>
      <w:sz w:val="21"/>
      <w:szCs w:val="21"/>
    </w:rPr>
  </w:style>
  <w:style w:type="character" w:customStyle="1" w:styleId="13">
    <w:name w:val="批注主题 Char"/>
    <w:basedOn w:val="12"/>
    <w:link w:val="5"/>
    <w:qFormat/>
    <w:uiPriority w:val="0"/>
    <w:rPr>
      <w:rFonts w:eastAsia="Arial"/>
      <w:b/>
      <w:bCs/>
      <w:snapToGrid w:val="0"/>
      <w:color w:val="000000"/>
      <w:sz w:val="21"/>
      <w:szCs w:val="21"/>
    </w:rPr>
  </w:style>
  <w:style w:type="character" w:customStyle="1" w:styleId="14">
    <w:name w:val="批注框文本 Char"/>
    <w:basedOn w:val="7"/>
    <w:link w:val="3"/>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1748</Words>
  <Characters>1985</Characters>
  <Lines>12</Lines>
  <Paragraphs>3</Paragraphs>
  <TotalTime>7</TotalTime>
  <ScaleCrop>false</ScaleCrop>
  <LinksUpToDate>false</LinksUpToDate>
  <CharactersWithSpaces>2004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2023-06-05T07:38:00Z</dcterms:created>
  <dc:creator>微软用户</dc:creator>
  <cp:lastModifiedBy>雯亦</cp:lastModifiedBy>
  <dcterms:modified xsi:type="dcterms:W3CDTF">2025-01-24T06:25:17Z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2023-06-05T13:51:38Z</vt:filetime>
  </property>
  <property fmtid="{D5CDD505-2E9C-101B-9397-08002B2CF9AE}" pid="4" name="KSOProductBuildVer">
    <vt:lpwstr>2052-12.1.0.19770</vt:lpwstr>
  </property>
  <property fmtid="{D5CDD505-2E9C-101B-9397-08002B2CF9AE}" pid="5" name="ICV">
    <vt:lpwstr>24A7ECD461484248A3FE2181C989327C_13</vt:lpwstr>
  </property>
  <property fmtid="{D5CDD505-2E9C-101B-9397-08002B2CF9AE}" pid="6" name="KSOTemplateDocerSaveRecord">
    <vt:lpwstr>eyJoZGlkIjoiZTQzZmRmZDMxMjkwMDE2NTk0ZWQ1ZWYwMzRmYjVhNmUiLCJ1c2VySWQiOiI2NDQwNzQxNTQifQ==</vt:lpwstr>
  </property>
</Properties>
</file>