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85E9F">
      <w:pPr>
        <w:pStyle w:val="2"/>
        <w:spacing w:before="251" w:line="218" w:lineRule="auto"/>
        <w:ind w:left="126"/>
        <w:rPr>
          <w:rFonts w:hint="eastAsia"/>
          <w:lang w:eastAsia="zh-CN"/>
        </w:rPr>
      </w:pPr>
      <w:r>
        <w:rPr>
          <w:b/>
          <w:bCs/>
          <w:spacing w:val="-1"/>
          <w:lang w:eastAsia="zh-CN"/>
        </w:rPr>
        <w:t>证券代码：603191</w:t>
      </w:r>
      <w:r>
        <w:rPr>
          <w:spacing w:val="-1"/>
          <w:lang w:eastAsia="zh-CN"/>
        </w:rPr>
        <w:t xml:space="preserve">        </w:t>
      </w:r>
      <w:r>
        <w:rPr>
          <w:b/>
          <w:bCs/>
          <w:spacing w:val="-1"/>
          <w:lang w:eastAsia="zh-CN"/>
        </w:rPr>
        <w:t>证券简称：望变电气</w:t>
      </w:r>
      <w:r>
        <w:rPr>
          <w:spacing w:val="-1"/>
          <w:lang w:eastAsia="zh-CN"/>
        </w:rPr>
        <w:t xml:space="preserve">      </w:t>
      </w:r>
      <w:r>
        <w:rPr>
          <w:b/>
          <w:bCs/>
          <w:spacing w:val="-1"/>
          <w:lang w:eastAsia="zh-CN"/>
        </w:rPr>
        <w:t>公告编</w:t>
      </w:r>
      <w:r>
        <w:rPr>
          <w:b/>
          <w:bCs/>
          <w:spacing w:val="-2"/>
          <w:lang w:eastAsia="zh-CN"/>
        </w:rPr>
        <w:t>号：202</w:t>
      </w:r>
      <w:r>
        <w:rPr>
          <w:rFonts w:hint="eastAsia"/>
          <w:b/>
          <w:bCs/>
          <w:spacing w:val="-2"/>
          <w:lang w:eastAsia="zh-CN"/>
        </w:rPr>
        <w:t>5</w:t>
      </w:r>
      <w:r>
        <w:rPr>
          <w:b/>
          <w:bCs/>
          <w:spacing w:val="-2"/>
          <w:lang w:eastAsia="zh-CN"/>
        </w:rPr>
        <w:t>-0</w:t>
      </w:r>
      <w:r>
        <w:rPr>
          <w:rFonts w:hint="eastAsia"/>
          <w:b/>
          <w:bCs/>
          <w:spacing w:val="-2"/>
          <w:lang w:eastAsia="zh-CN"/>
        </w:rPr>
        <w:t>10</w:t>
      </w:r>
    </w:p>
    <w:p w14:paraId="6B42C045">
      <w:pPr>
        <w:pStyle w:val="2"/>
        <w:spacing w:before="327" w:line="220" w:lineRule="auto"/>
        <w:ind w:left="1393"/>
        <w:outlineLvl w:val="0"/>
        <w:rPr>
          <w:rFonts w:hint="eastAsia"/>
          <w:sz w:val="36"/>
          <w:szCs w:val="36"/>
          <w:lang w:eastAsia="zh-CN"/>
        </w:rPr>
      </w:pPr>
      <w:r>
        <w:rPr>
          <w:b/>
          <w:bCs/>
          <w:color w:val="FF0000"/>
          <w:spacing w:val="-4"/>
          <w:sz w:val="36"/>
          <w:szCs w:val="36"/>
          <w:lang w:eastAsia="zh-CN"/>
        </w:rPr>
        <w:t>重庆望变电气（集团）股份有限公司</w:t>
      </w:r>
    </w:p>
    <w:p w14:paraId="7AD6F97B">
      <w:pPr>
        <w:pStyle w:val="2"/>
        <w:spacing w:before="289" w:line="251" w:lineRule="auto"/>
        <w:ind w:left="2848" w:right="206" w:hanging="2627"/>
        <w:outlineLvl w:val="1"/>
        <w:rPr>
          <w:rFonts w:hint="eastAsia"/>
          <w:sz w:val="36"/>
          <w:szCs w:val="36"/>
          <w:lang w:eastAsia="zh-CN"/>
        </w:rPr>
      </w:pPr>
      <w:r>
        <w:rPr>
          <w:b/>
          <w:bCs/>
          <w:color w:val="FF0000"/>
          <w:spacing w:val="-5"/>
          <w:sz w:val="36"/>
          <w:szCs w:val="36"/>
          <w:lang w:eastAsia="zh-CN"/>
        </w:rPr>
        <w:t>关于股份性质变更暨</w:t>
      </w:r>
      <w:r>
        <w:rPr>
          <w:color w:val="FF0000"/>
          <w:spacing w:val="-66"/>
          <w:sz w:val="36"/>
          <w:szCs w:val="36"/>
          <w:lang w:eastAsia="zh-CN"/>
        </w:rPr>
        <w:t xml:space="preserve"> </w:t>
      </w:r>
      <w:r>
        <w:rPr>
          <w:b/>
          <w:bCs/>
          <w:color w:val="FF0000"/>
          <w:spacing w:val="-5"/>
          <w:sz w:val="36"/>
          <w:szCs w:val="36"/>
          <w:lang w:eastAsia="zh-CN"/>
        </w:rPr>
        <w:t>2024</w:t>
      </w:r>
      <w:r>
        <w:rPr>
          <w:color w:val="FF0000"/>
          <w:spacing w:val="-71"/>
          <w:sz w:val="36"/>
          <w:szCs w:val="36"/>
          <w:lang w:eastAsia="zh-CN"/>
        </w:rPr>
        <w:t xml:space="preserve"> </w:t>
      </w:r>
      <w:r>
        <w:rPr>
          <w:b/>
          <w:bCs/>
          <w:color w:val="FF0000"/>
          <w:spacing w:val="-5"/>
          <w:sz w:val="36"/>
          <w:szCs w:val="36"/>
          <w:lang w:eastAsia="zh-CN"/>
        </w:rPr>
        <w:t>年限制性股票激励计划</w:t>
      </w:r>
      <w:r>
        <w:rPr>
          <w:rFonts w:hint="eastAsia"/>
          <w:b/>
          <w:bCs/>
          <w:color w:val="FF0000"/>
          <w:spacing w:val="-5"/>
          <w:sz w:val="36"/>
          <w:szCs w:val="36"/>
          <w:lang w:eastAsia="zh-CN"/>
        </w:rPr>
        <w:t>预留</w:t>
      </w:r>
      <w:r>
        <w:rPr>
          <w:b/>
          <w:bCs/>
          <w:color w:val="FF0000"/>
          <w:spacing w:val="-6"/>
          <w:sz w:val="36"/>
          <w:szCs w:val="36"/>
          <w:lang w:eastAsia="zh-CN"/>
        </w:rPr>
        <w:t>授予的进展公告</w:t>
      </w:r>
    </w:p>
    <w:tbl>
      <w:tblPr>
        <w:tblStyle w:val="7"/>
        <w:tblW w:w="853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8"/>
      </w:tblGrid>
      <w:tr w14:paraId="100AC7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70" w:hRule="atLeast"/>
        </w:trPr>
        <w:tc>
          <w:tcPr>
            <w:tcW w:w="8538" w:type="dxa"/>
          </w:tcPr>
          <w:p w14:paraId="242DE72F">
            <w:pPr>
              <w:spacing w:before="265" w:line="344" w:lineRule="auto"/>
              <w:ind w:left="132" w:right="114" w:firstLine="477"/>
              <w:rPr>
                <w:rFonts w:hint="eastAsia" w:ascii="宋体" w:hAnsi="宋体" w:eastAsia="宋体" w:cs="宋体"/>
                <w:sz w:val="24"/>
                <w:szCs w:val="24"/>
                <w:lang w:eastAsia="zh-CN"/>
              </w:rPr>
            </w:pPr>
            <w:r>
              <w:rPr>
                <w:rFonts w:ascii="仿宋" w:hAnsi="仿宋" w:eastAsia="仿宋" w:cs="仿宋"/>
                <w:spacing w:val="-3"/>
                <w:sz w:val="24"/>
                <w:szCs w:val="24"/>
                <w:lang w:eastAsia="zh-CN"/>
              </w:rPr>
              <w:t>本公司董事会及全体董事保证本公告内容不存</w:t>
            </w:r>
            <w:r>
              <w:rPr>
                <w:rFonts w:ascii="仿宋" w:hAnsi="仿宋" w:eastAsia="仿宋" w:cs="仿宋"/>
                <w:spacing w:val="-4"/>
                <w:sz w:val="24"/>
                <w:szCs w:val="24"/>
                <w:lang w:eastAsia="zh-CN"/>
              </w:rPr>
              <w:t>在任何虚假记载、误导性陈述</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或者重大遗漏，并对其内容的真实性、准确性和完整性承担法律责任</w:t>
            </w:r>
            <w:r>
              <w:rPr>
                <w:rFonts w:ascii="宋体" w:hAnsi="宋体" w:eastAsia="宋体" w:cs="宋体"/>
                <w:spacing w:val="-1"/>
                <w:sz w:val="24"/>
                <w:szCs w:val="24"/>
                <w:lang w:eastAsia="zh-CN"/>
              </w:rPr>
              <w:t>。</w:t>
            </w:r>
          </w:p>
        </w:tc>
      </w:tr>
    </w:tbl>
    <w:p w14:paraId="0895242B">
      <w:pPr>
        <w:spacing w:line="359" w:lineRule="auto"/>
        <w:rPr>
          <w:lang w:eastAsia="zh-CN"/>
        </w:rPr>
      </w:pPr>
    </w:p>
    <w:p w14:paraId="5C9939D8">
      <w:pPr>
        <w:spacing w:line="359" w:lineRule="auto"/>
        <w:rPr>
          <w:lang w:eastAsia="zh-CN"/>
        </w:rPr>
      </w:pPr>
    </w:p>
    <w:p w14:paraId="7D4D0475">
      <w:pPr>
        <w:pStyle w:val="2"/>
        <w:spacing w:before="78" w:line="428" w:lineRule="auto"/>
        <w:ind w:left="125" w:right="119" w:firstLine="482"/>
        <w:jc w:val="both"/>
        <w:rPr>
          <w:rFonts w:hint="eastAsia"/>
          <w:lang w:eastAsia="zh-CN"/>
        </w:rPr>
      </w:pPr>
      <w:r>
        <w:rPr>
          <w:spacing w:val="-5"/>
          <w:lang w:eastAsia="zh-CN"/>
        </w:rPr>
        <w:t>根据重庆望变电气（集团）股份有限公司（以下简称“公司”</w:t>
      </w:r>
      <w:r>
        <w:rPr>
          <w:rFonts w:hint="eastAsia"/>
          <w:spacing w:val="-5"/>
          <w:lang w:eastAsia="zh-CN"/>
        </w:rPr>
        <w:t>或“望变电气”</w:t>
      </w:r>
      <w:r>
        <w:rPr>
          <w:spacing w:val="-5"/>
          <w:lang w:eastAsia="zh-CN"/>
        </w:rPr>
        <w:t>）2024年第一</w:t>
      </w:r>
      <w:r>
        <w:rPr>
          <w:spacing w:val="-4"/>
          <w:lang w:eastAsia="zh-CN"/>
        </w:rPr>
        <w:t>次临时股东大会的授权，公司</w:t>
      </w:r>
      <w:r>
        <w:rPr>
          <w:rFonts w:hint="eastAsia"/>
          <w:spacing w:val="-4"/>
          <w:lang w:eastAsia="zh-CN"/>
        </w:rPr>
        <w:t>于2025年1月20日分别召开了第四届董事会第十会议和第四届监事会第九次会议，审议通过了《关于向2024年限制性股票激励计划激励对象授予预留部分限制性股票的议案》，公司薪酬与考核委员会对授予预留部分限制性股票事项发表了同意意见，监事会对预留授予激励对象名单进行核实并发表了核查意见。公司</w:t>
      </w:r>
      <w:r>
        <w:rPr>
          <w:spacing w:val="-4"/>
          <w:lang w:eastAsia="zh-CN"/>
        </w:rPr>
        <w:t>同意确定以</w:t>
      </w:r>
      <w:r>
        <w:rPr>
          <w:rFonts w:hint="eastAsia"/>
          <w:spacing w:val="-4"/>
          <w:lang w:eastAsia="zh-CN"/>
        </w:rPr>
        <w:t>2025年1月20日</w:t>
      </w:r>
      <w:r>
        <w:rPr>
          <w:spacing w:val="-4"/>
          <w:lang w:eastAsia="zh-CN"/>
        </w:rPr>
        <w:t>为授予日</w:t>
      </w:r>
      <w:r>
        <w:rPr>
          <w:spacing w:val="-10"/>
          <w:lang w:eastAsia="zh-CN"/>
        </w:rPr>
        <w:t>，向符合授予条件</w:t>
      </w:r>
      <w:r>
        <w:rPr>
          <w:rFonts w:hint="eastAsia"/>
          <w:spacing w:val="-4"/>
          <w:lang w:eastAsia="zh-CN"/>
        </w:rPr>
        <w:t>的32名激励对象授予60万限制性股票，授予价格为7.94元/股。</w:t>
      </w:r>
      <w:r>
        <w:rPr>
          <w:spacing w:val="-3"/>
          <w:lang w:eastAsia="zh-CN"/>
        </w:rPr>
        <w:t>具体内容详见公司</w:t>
      </w:r>
      <w:r>
        <w:rPr>
          <w:rFonts w:hint="eastAsia"/>
          <w:spacing w:val="-4"/>
          <w:lang w:eastAsia="zh-CN"/>
        </w:rPr>
        <w:t>于2025年1月22日在上海证券交易所网站（</w:t>
      </w:r>
      <w:r>
        <w:rPr>
          <w:spacing w:val="-4"/>
          <w:lang w:eastAsia="zh-CN"/>
        </w:rPr>
        <w:t>www.sse.com.cn）披露的相关公告。</w:t>
      </w:r>
    </w:p>
    <w:p w14:paraId="0EB0F96A">
      <w:pPr>
        <w:pStyle w:val="2"/>
        <w:spacing w:before="39" w:line="426" w:lineRule="auto"/>
        <w:ind w:left="126" w:right="117" w:firstLine="487"/>
        <w:jc w:val="both"/>
        <w:rPr>
          <w:rFonts w:hint="eastAsia"/>
          <w:lang w:eastAsia="zh-CN"/>
        </w:rPr>
      </w:pPr>
      <w:r>
        <w:rPr>
          <w:spacing w:val="-5"/>
          <w:lang w:eastAsia="zh-CN"/>
        </w:rPr>
        <w:t>公司董事会确定授予日后，在缴款验资环节有1名激励对象因个人原因自愿放弃其认购获授的全部</w:t>
      </w:r>
      <w:r>
        <w:rPr>
          <w:rFonts w:hint="eastAsia"/>
          <w:spacing w:val="-5"/>
          <w:lang w:eastAsia="zh-CN"/>
        </w:rPr>
        <w:t>2</w:t>
      </w:r>
      <w:r>
        <w:rPr>
          <w:spacing w:val="-5"/>
          <w:lang w:eastAsia="zh-CN"/>
        </w:rPr>
        <w:t>万股限制性股票</w:t>
      </w:r>
      <w:r>
        <w:rPr>
          <w:rFonts w:hint="eastAsia"/>
          <w:spacing w:val="-5"/>
          <w:lang w:eastAsia="zh-CN"/>
        </w:rPr>
        <w:t>，</w:t>
      </w:r>
      <w:r>
        <w:rPr>
          <w:spacing w:val="-5"/>
          <w:lang w:eastAsia="zh-CN"/>
        </w:rPr>
        <w:t>上述</w:t>
      </w:r>
      <w:r>
        <w:rPr>
          <w:rFonts w:hint="eastAsia"/>
          <w:spacing w:val="-5"/>
          <w:lang w:eastAsia="zh-CN"/>
        </w:rPr>
        <w:t>2</w:t>
      </w:r>
      <w:r>
        <w:rPr>
          <w:spacing w:val="-5"/>
          <w:lang w:eastAsia="zh-CN"/>
        </w:rPr>
        <w:t>万股限制性股票将直接调减取消授予。因此，本次限制性股票激励计划</w:t>
      </w:r>
      <w:r>
        <w:rPr>
          <w:rFonts w:hint="eastAsia"/>
          <w:spacing w:val="-5"/>
          <w:lang w:eastAsia="zh-CN"/>
        </w:rPr>
        <w:t>预留</w:t>
      </w:r>
      <w:r>
        <w:rPr>
          <w:spacing w:val="-5"/>
          <w:lang w:eastAsia="zh-CN"/>
        </w:rPr>
        <w:t>授予部分的限制性股票实际授予激励对象人数由</w:t>
      </w:r>
      <w:r>
        <w:rPr>
          <w:rFonts w:hint="eastAsia"/>
          <w:spacing w:val="-5"/>
          <w:lang w:eastAsia="zh-CN"/>
        </w:rPr>
        <w:t>32</w:t>
      </w:r>
      <w:r>
        <w:rPr>
          <w:spacing w:val="-5"/>
          <w:lang w:eastAsia="zh-CN"/>
        </w:rPr>
        <w:t>人调整为</w:t>
      </w:r>
      <w:r>
        <w:rPr>
          <w:rFonts w:hint="eastAsia"/>
          <w:spacing w:val="-5"/>
          <w:lang w:eastAsia="zh-CN"/>
        </w:rPr>
        <w:t>31</w:t>
      </w:r>
      <w:r>
        <w:rPr>
          <w:spacing w:val="-5"/>
          <w:lang w:eastAsia="zh-CN"/>
        </w:rPr>
        <w:t>人，</w:t>
      </w:r>
      <w:r>
        <w:rPr>
          <w:rFonts w:hint="eastAsia"/>
          <w:spacing w:val="-5"/>
          <w:lang w:eastAsia="zh-CN"/>
        </w:rPr>
        <w:t>预留</w:t>
      </w:r>
      <w:r>
        <w:rPr>
          <w:spacing w:val="-5"/>
          <w:lang w:eastAsia="zh-CN"/>
        </w:rPr>
        <w:t>授予部分的限制性股票的实际授予数量由60万股调整为</w:t>
      </w:r>
      <w:r>
        <w:rPr>
          <w:rFonts w:hint="eastAsia"/>
          <w:spacing w:val="-5"/>
          <w:lang w:eastAsia="zh-CN"/>
        </w:rPr>
        <w:t>58</w:t>
      </w:r>
      <w:r>
        <w:rPr>
          <w:spacing w:val="-5"/>
          <w:lang w:eastAsia="zh-CN"/>
        </w:rPr>
        <w:t>万股。</w:t>
      </w:r>
    </w:p>
    <w:p w14:paraId="365D0331">
      <w:pPr>
        <w:pStyle w:val="2"/>
        <w:spacing w:before="165" w:line="425" w:lineRule="auto"/>
        <w:ind w:left="24" w:right="13" w:firstLine="486"/>
        <w:jc w:val="both"/>
        <w:rPr>
          <w:rFonts w:hint="eastAsia"/>
          <w:spacing w:val="-7"/>
          <w:lang w:eastAsia="zh-CN"/>
        </w:rPr>
      </w:pPr>
      <w:r>
        <w:rPr>
          <w:rFonts w:hint="eastAsia"/>
          <w:spacing w:val="-7"/>
          <w:lang w:eastAsia="zh-CN"/>
        </w:rPr>
        <w:t>2025年2月6日天健会计师事务所（特殊普通合伙）出具了《验资报告》（天健验[2025]8-1号）。截至2025年1月21日止，望变电气己收到31名股权激励对象以货币资金缴纳的股票认购款肆佰陆拾万零伍仟贰佰元整（¥4,605,200.00）。</w:t>
      </w:r>
    </w:p>
    <w:p w14:paraId="295044AC">
      <w:pPr>
        <w:pStyle w:val="2"/>
        <w:spacing w:before="165" w:line="425" w:lineRule="auto"/>
        <w:ind w:left="24" w:right="13" w:firstLine="486"/>
        <w:jc w:val="both"/>
        <w:rPr>
          <w:rFonts w:hint="eastAsia"/>
          <w:lang w:eastAsia="zh-CN"/>
        </w:rPr>
      </w:pPr>
      <w:r>
        <w:rPr>
          <w:spacing w:val="-4"/>
          <w:lang w:eastAsia="zh-CN"/>
        </w:rPr>
        <w:t>公司已就上述</w:t>
      </w:r>
      <w:r>
        <w:rPr>
          <w:rFonts w:hint="eastAsia"/>
          <w:spacing w:val="-7"/>
          <w:lang w:eastAsia="zh-CN"/>
        </w:rPr>
        <w:t>授予的58万股限制性股票</w:t>
      </w:r>
      <w:r>
        <w:rPr>
          <w:spacing w:val="-4"/>
          <w:lang w:eastAsia="zh-CN"/>
        </w:rPr>
        <w:t>，向中国证券登记结算有限</w:t>
      </w:r>
      <w:r>
        <w:rPr>
          <w:spacing w:val="-5"/>
          <w:lang w:eastAsia="zh-CN"/>
        </w:rPr>
        <w:t>责任公</w:t>
      </w:r>
      <w:r>
        <w:rPr>
          <w:lang w:eastAsia="zh-CN"/>
        </w:rPr>
        <w:t xml:space="preserve"> </w:t>
      </w:r>
      <w:r>
        <w:rPr>
          <w:spacing w:val="-3"/>
          <w:lang w:eastAsia="zh-CN"/>
        </w:rPr>
        <w:t>司上海分公司申请办理登记。经与上海证券交易所和中国证券登记结算有限责任</w:t>
      </w:r>
      <w:r>
        <w:rPr>
          <w:lang w:eastAsia="zh-CN"/>
        </w:rPr>
        <w:t xml:space="preserve"> </w:t>
      </w:r>
      <w:r>
        <w:rPr>
          <w:spacing w:val="-2"/>
          <w:lang w:eastAsia="zh-CN"/>
        </w:rPr>
        <w:t>公司上海分公司确认，本次拟授予</w:t>
      </w:r>
      <w:r>
        <w:rPr>
          <w:rFonts w:hint="eastAsia"/>
          <w:spacing w:val="-2"/>
          <w:lang w:eastAsia="zh-CN"/>
        </w:rPr>
        <w:t>31</w:t>
      </w:r>
      <w:r>
        <w:rPr>
          <w:spacing w:val="-2"/>
          <w:lang w:eastAsia="zh-CN"/>
        </w:rPr>
        <w:t>名激励对象</w:t>
      </w:r>
      <w:r>
        <w:rPr>
          <w:rFonts w:hint="eastAsia"/>
          <w:spacing w:val="-40"/>
          <w:lang w:eastAsia="zh-CN"/>
        </w:rPr>
        <w:t>58</w:t>
      </w:r>
      <w:r>
        <w:rPr>
          <w:spacing w:val="-2"/>
          <w:lang w:eastAsia="zh-CN"/>
        </w:rPr>
        <w:t>万股的限制性股票，股份</w:t>
      </w:r>
      <w:r>
        <w:rPr>
          <w:spacing w:val="-3"/>
          <w:lang w:eastAsia="zh-CN"/>
        </w:rPr>
        <w:t>来源为公司从二级市场回购的本公司A股普通股，将</w:t>
      </w:r>
      <w:r>
        <w:rPr>
          <w:spacing w:val="-4"/>
          <w:lang w:eastAsia="zh-CN"/>
        </w:rPr>
        <w:t>由无限售条件流通股变更为</w:t>
      </w:r>
      <w:r>
        <w:rPr>
          <w:spacing w:val="-5"/>
          <w:lang w:eastAsia="zh-CN"/>
        </w:rPr>
        <w:t>有限售条件流通股。</w:t>
      </w:r>
    </w:p>
    <w:p w14:paraId="0767341C">
      <w:pPr>
        <w:pStyle w:val="2"/>
        <w:spacing w:before="36" w:line="219" w:lineRule="auto"/>
        <w:ind w:left="504"/>
        <w:rPr>
          <w:rFonts w:hint="eastAsia"/>
          <w:lang w:eastAsia="zh-CN"/>
        </w:rPr>
      </w:pPr>
      <w:r>
        <w:rPr>
          <w:spacing w:val="-4"/>
          <w:lang w:eastAsia="zh-CN"/>
        </w:rPr>
        <w:t>本次变更前后，公司股本结构情况如下：</w:t>
      </w:r>
    </w:p>
    <w:p w14:paraId="1D46BD70">
      <w:pPr>
        <w:pStyle w:val="2"/>
        <w:spacing w:before="275" w:line="220" w:lineRule="auto"/>
        <w:ind w:left="6893"/>
        <w:rPr>
          <w:rFonts w:hint="eastAsia"/>
        </w:rPr>
      </w:pPr>
      <w:r>
        <w:rPr>
          <w:spacing w:val="-3"/>
        </w:rPr>
        <w:t>单位：股</w:t>
      </w:r>
    </w:p>
    <w:p w14:paraId="3DDE2C0F">
      <w:pPr>
        <w:spacing w:line="30" w:lineRule="exact"/>
      </w:pPr>
    </w:p>
    <w:tbl>
      <w:tblPr>
        <w:tblStyle w:val="7"/>
        <w:tblW w:w="7513"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1602"/>
        <w:gridCol w:w="1957"/>
        <w:gridCol w:w="1965"/>
      </w:tblGrid>
      <w:tr w14:paraId="389B4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989" w:type="dxa"/>
          </w:tcPr>
          <w:p w14:paraId="0F4D0209">
            <w:pPr>
              <w:pStyle w:val="8"/>
              <w:spacing w:before="271" w:line="221" w:lineRule="auto"/>
              <w:ind w:left="788"/>
              <w:rPr>
                <w:rFonts w:hint="eastAsia"/>
              </w:rPr>
            </w:pPr>
            <w:r>
              <w:rPr>
                <w:b/>
                <w:bCs/>
                <w:spacing w:val="-4"/>
              </w:rPr>
              <w:t>类别</w:t>
            </w:r>
          </w:p>
        </w:tc>
        <w:tc>
          <w:tcPr>
            <w:tcW w:w="1602" w:type="dxa"/>
          </w:tcPr>
          <w:p w14:paraId="1853CACB">
            <w:pPr>
              <w:pStyle w:val="8"/>
              <w:spacing w:before="272" w:line="221" w:lineRule="auto"/>
              <w:ind w:left="486"/>
              <w:rPr>
                <w:rFonts w:hint="eastAsia"/>
              </w:rPr>
            </w:pPr>
            <w:r>
              <w:rPr>
                <w:b/>
                <w:bCs/>
                <w:spacing w:val="-4"/>
              </w:rPr>
              <w:t>变动前</w:t>
            </w:r>
          </w:p>
        </w:tc>
        <w:tc>
          <w:tcPr>
            <w:tcW w:w="1957" w:type="dxa"/>
          </w:tcPr>
          <w:p w14:paraId="61979813">
            <w:pPr>
              <w:pStyle w:val="8"/>
              <w:spacing w:before="271" w:line="220" w:lineRule="auto"/>
              <w:ind w:left="561"/>
              <w:rPr>
                <w:rFonts w:hint="eastAsia"/>
              </w:rPr>
            </w:pPr>
            <w:r>
              <w:rPr>
                <w:b/>
                <w:bCs/>
                <w:spacing w:val="-4"/>
              </w:rPr>
              <w:t>本次变动</w:t>
            </w:r>
          </w:p>
        </w:tc>
        <w:tc>
          <w:tcPr>
            <w:tcW w:w="1965" w:type="dxa"/>
          </w:tcPr>
          <w:p w14:paraId="0FB1F1F0">
            <w:pPr>
              <w:pStyle w:val="8"/>
              <w:spacing w:before="272" w:line="221" w:lineRule="auto"/>
              <w:ind w:left="667"/>
              <w:rPr>
                <w:rFonts w:hint="eastAsia"/>
              </w:rPr>
            </w:pPr>
            <w:r>
              <w:rPr>
                <w:b/>
                <w:bCs/>
                <w:spacing w:val="-4"/>
              </w:rPr>
              <w:t>变动后</w:t>
            </w:r>
          </w:p>
        </w:tc>
      </w:tr>
      <w:tr w14:paraId="476B6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89" w:type="dxa"/>
          </w:tcPr>
          <w:p w14:paraId="36FDD78F">
            <w:pPr>
              <w:pStyle w:val="8"/>
              <w:spacing w:before="267" w:line="221" w:lineRule="auto"/>
              <w:ind w:left="116"/>
              <w:rPr>
                <w:rFonts w:hint="eastAsia"/>
              </w:rPr>
            </w:pPr>
            <w:r>
              <w:rPr>
                <w:spacing w:val="-1"/>
              </w:rPr>
              <w:t>有限售条件股份</w:t>
            </w:r>
          </w:p>
        </w:tc>
        <w:tc>
          <w:tcPr>
            <w:tcW w:w="1602" w:type="dxa"/>
          </w:tcPr>
          <w:p w14:paraId="434354C7">
            <w:pPr>
              <w:pStyle w:val="8"/>
              <w:spacing w:before="302" w:line="183" w:lineRule="auto"/>
              <w:jc w:val="right"/>
              <w:rPr>
                <w:rFonts w:hint="eastAsia"/>
              </w:rPr>
            </w:pPr>
            <w:r>
              <w:rPr>
                <w:spacing w:val="-2"/>
              </w:rPr>
              <w:t>146,461,541</w:t>
            </w:r>
          </w:p>
        </w:tc>
        <w:tc>
          <w:tcPr>
            <w:tcW w:w="1957" w:type="dxa"/>
          </w:tcPr>
          <w:p w14:paraId="0918293E">
            <w:pPr>
              <w:pStyle w:val="8"/>
              <w:spacing w:before="303" w:line="182" w:lineRule="auto"/>
              <w:ind w:left="803"/>
              <w:jc w:val="right"/>
              <w:rPr>
                <w:rFonts w:hint="eastAsia"/>
              </w:rPr>
            </w:pPr>
            <w:r>
              <w:rPr>
                <w:spacing w:val="-1"/>
              </w:rPr>
              <w:t>+</w:t>
            </w:r>
            <w:r>
              <w:rPr>
                <w:rFonts w:hint="eastAsia"/>
                <w:spacing w:val="-1"/>
                <w:lang w:eastAsia="zh-CN"/>
              </w:rPr>
              <w:t>58</w:t>
            </w:r>
            <w:r>
              <w:rPr>
                <w:spacing w:val="-1"/>
              </w:rPr>
              <w:t>0,000</w:t>
            </w:r>
          </w:p>
        </w:tc>
        <w:tc>
          <w:tcPr>
            <w:tcW w:w="1965" w:type="dxa"/>
          </w:tcPr>
          <w:p w14:paraId="7EF2E5EB">
            <w:pPr>
              <w:pStyle w:val="8"/>
              <w:spacing w:before="305" w:line="183" w:lineRule="auto"/>
              <w:jc w:val="right"/>
              <w:rPr>
                <w:rFonts w:hint="eastAsia"/>
                <w:spacing w:val="-3"/>
              </w:rPr>
            </w:pPr>
            <w:r>
              <w:rPr>
                <w:rFonts w:hint="eastAsia"/>
                <w:spacing w:val="-3"/>
              </w:rPr>
              <w:t xml:space="preserve"> 147,041,541 </w:t>
            </w:r>
          </w:p>
        </w:tc>
      </w:tr>
      <w:tr w14:paraId="1FC55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989" w:type="dxa"/>
          </w:tcPr>
          <w:p w14:paraId="7DD9E9AE">
            <w:pPr>
              <w:pStyle w:val="8"/>
              <w:spacing w:before="269" w:line="221" w:lineRule="auto"/>
              <w:ind w:left="117"/>
              <w:rPr>
                <w:rFonts w:hint="eastAsia"/>
              </w:rPr>
            </w:pPr>
            <w:r>
              <w:rPr>
                <w:spacing w:val="-1"/>
              </w:rPr>
              <w:t>无限售条件股份</w:t>
            </w:r>
          </w:p>
        </w:tc>
        <w:tc>
          <w:tcPr>
            <w:tcW w:w="1602" w:type="dxa"/>
          </w:tcPr>
          <w:p w14:paraId="2BE6C261">
            <w:pPr>
              <w:pStyle w:val="8"/>
              <w:spacing w:before="304" w:line="183" w:lineRule="auto"/>
              <w:jc w:val="right"/>
              <w:rPr>
                <w:rFonts w:hint="eastAsia"/>
              </w:rPr>
            </w:pPr>
            <w:r>
              <w:rPr>
                <w:spacing w:val="-2"/>
              </w:rPr>
              <w:t>186,705,866</w:t>
            </w:r>
          </w:p>
        </w:tc>
        <w:tc>
          <w:tcPr>
            <w:tcW w:w="1957" w:type="dxa"/>
          </w:tcPr>
          <w:p w14:paraId="4EBBDAFB">
            <w:pPr>
              <w:pStyle w:val="8"/>
              <w:spacing w:before="305" w:line="182" w:lineRule="auto"/>
              <w:ind w:left="801"/>
              <w:jc w:val="right"/>
              <w:rPr>
                <w:rFonts w:hint="eastAsia"/>
              </w:rPr>
            </w:pPr>
            <w:r>
              <w:rPr>
                <w:spacing w:val="-1"/>
              </w:rPr>
              <w:t>-</w:t>
            </w:r>
            <w:r>
              <w:rPr>
                <w:rFonts w:hint="eastAsia"/>
                <w:spacing w:val="-1"/>
                <w:lang w:eastAsia="zh-CN"/>
              </w:rPr>
              <w:t>58</w:t>
            </w:r>
            <w:r>
              <w:rPr>
                <w:spacing w:val="-1"/>
              </w:rPr>
              <w:t>0,000</w:t>
            </w:r>
          </w:p>
        </w:tc>
        <w:tc>
          <w:tcPr>
            <w:tcW w:w="1965" w:type="dxa"/>
          </w:tcPr>
          <w:p w14:paraId="17CC9D90">
            <w:pPr>
              <w:pStyle w:val="8"/>
              <w:spacing w:before="305" w:line="183" w:lineRule="auto"/>
              <w:jc w:val="right"/>
              <w:rPr>
                <w:rFonts w:hint="eastAsia"/>
                <w:spacing w:val="-3"/>
              </w:rPr>
            </w:pPr>
            <w:r>
              <w:rPr>
                <w:rFonts w:hint="eastAsia"/>
                <w:spacing w:val="-3"/>
              </w:rPr>
              <w:t xml:space="preserve"> 186,125,866 </w:t>
            </w:r>
          </w:p>
        </w:tc>
      </w:tr>
      <w:tr w14:paraId="3F21F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989" w:type="dxa"/>
          </w:tcPr>
          <w:p w14:paraId="6FB36750">
            <w:pPr>
              <w:pStyle w:val="8"/>
              <w:spacing w:before="271" w:line="222" w:lineRule="auto"/>
              <w:ind w:left="121"/>
              <w:rPr>
                <w:rFonts w:hint="eastAsia"/>
              </w:rPr>
            </w:pPr>
            <w:r>
              <w:rPr>
                <w:b/>
                <w:bCs/>
                <w:spacing w:val="-6"/>
              </w:rPr>
              <w:t>总计</w:t>
            </w:r>
          </w:p>
        </w:tc>
        <w:tc>
          <w:tcPr>
            <w:tcW w:w="1602" w:type="dxa"/>
          </w:tcPr>
          <w:p w14:paraId="508F49B2">
            <w:pPr>
              <w:pStyle w:val="8"/>
              <w:spacing w:before="305" w:line="183" w:lineRule="auto"/>
              <w:jc w:val="right"/>
              <w:rPr>
                <w:rFonts w:hint="eastAsia"/>
              </w:rPr>
            </w:pPr>
            <w:r>
              <w:rPr>
                <w:b/>
                <w:bCs/>
                <w:spacing w:val="-3"/>
              </w:rPr>
              <w:t>333,167,407</w:t>
            </w:r>
          </w:p>
        </w:tc>
        <w:tc>
          <w:tcPr>
            <w:tcW w:w="1957" w:type="dxa"/>
          </w:tcPr>
          <w:p w14:paraId="240AFF38">
            <w:pPr>
              <w:pStyle w:val="8"/>
              <w:spacing w:before="306" w:line="182" w:lineRule="auto"/>
              <w:ind w:left="1750"/>
              <w:jc w:val="right"/>
              <w:rPr>
                <w:rFonts w:hint="eastAsia"/>
              </w:rPr>
            </w:pPr>
            <w:r>
              <w:rPr>
                <w:b/>
                <w:bCs/>
                <w:spacing w:val="-3"/>
              </w:rPr>
              <w:t>0</w:t>
            </w:r>
          </w:p>
        </w:tc>
        <w:tc>
          <w:tcPr>
            <w:tcW w:w="1965" w:type="dxa"/>
          </w:tcPr>
          <w:p w14:paraId="54EDBABE">
            <w:pPr>
              <w:pStyle w:val="8"/>
              <w:spacing w:before="305" w:line="183" w:lineRule="auto"/>
              <w:jc w:val="right"/>
              <w:rPr>
                <w:rFonts w:hint="eastAsia"/>
                <w:b/>
                <w:bCs/>
                <w:spacing w:val="-3"/>
              </w:rPr>
            </w:pPr>
            <w:r>
              <w:rPr>
                <w:rFonts w:hint="eastAsia"/>
                <w:b/>
                <w:bCs/>
                <w:spacing w:val="-3"/>
                <w:lang w:eastAsia="zh-CN"/>
              </w:rPr>
              <w:t xml:space="preserve">333,167,407 </w:t>
            </w:r>
          </w:p>
        </w:tc>
      </w:tr>
    </w:tbl>
    <w:p w14:paraId="15D0DBDE">
      <w:pPr>
        <w:spacing w:line="241" w:lineRule="auto"/>
      </w:pPr>
    </w:p>
    <w:p w14:paraId="088FA181">
      <w:pPr>
        <w:spacing w:line="241" w:lineRule="auto"/>
      </w:pPr>
    </w:p>
    <w:p w14:paraId="09337AC7">
      <w:pPr>
        <w:spacing w:line="241" w:lineRule="auto"/>
      </w:pPr>
    </w:p>
    <w:p w14:paraId="16F9DE84">
      <w:pPr>
        <w:pStyle w:val="2"/>
        <w:spacing w:before="78" w:line="416" w:lineRule="auto"/>
        <w:ind w:left="26" w:right="13" w:firstLine="478"/>
        <w:rPr>
          <w:rFonts w:hint="eastAsia"/>
          <w:lang w:eastAsia="zh-CN"/>
        </w:rPr>
      </w:pPr>
      <w:r>
        <w:rPr>
          <w:spacing w:val="-3"/>
          <w:lang w:eastAsia="zh-CN"/>
        </w:rPr>
        <w:t>后续，公司将根据相关规定在中国证券登记结算有限责任公</w:t>
      </w:r>
      <w:r>
        <w:rPr>
          <w:spacing w:val="-4"/>
          <w:lang w:eastAsia="zh-CN"/>
        </w:rPr>
        <w:t>司上海分公司办</w:t>
      </w:r>
      <w:r>
        <w:rPr>
          <w:lang w:eastAsia="zh-CN"/>
        </w:rPr>
        <w:t xml:space="preserve"> </w:t>
      </w:r>
      <w:r>
        <w:rPr>
          <w:spacing w:val="-2"/>
          <w:lang w:eastAsia="zh-CN"/>
        </w:rPr>
        <w:t>理本次激励计划</w:t>
      </w:r>
      <w:r>
        <w:rPr>
          <w:rFonts w:hint="eastAsia"/>
          <w:spacing w:val="-2"/>
          <w:lang w:eastAsia="zh-CN"/>
        </w:rPr>
        <w:t>预留</w:t>
      </w:r>
      <w:r>
        <w:rPr>
          <w:spacing w:val="-2"/>
          <w:lang w:eastAsia="zh-CN"/>
        </w:rPr>
        <w:t>授予的登记工作，并及时履行信息披露义务。</w:t>
      </w:r>
    </w:p>
    <w:p w14:paraId="0ADA269A">
      <w:pPr>
        <w:pStyle w:val="2"/>
        <w:spacing w:before="36" w:line="218" w:lineRule="auto"/>
        <w:ind w:left="503"/>
        <w:rPr>
          <w:rFonts w:hint="eastAsia"/>
          <w:lang w:eastAsia="zh-CN"/>
        </w:rPr>
      </w:pPr>
      <w:r>
        <w:rPr>
          <w:spacing w:val="-8"/>
          <w:lang w:eastAsia="zh-CN"/>
        </w:rPr>
        <w:t>特此公告。</w:t>
      </w:r>
    </w:p>
    <w:p w14:paraId="6E07A1B5">
      <w:pPr>
        <w:spacing w:line="251" w:lineRule="auto"/>
        <w:rPr>
          <w:lang w:eastAsia="zh-CN"/>
        </w:rPr>
      </w:pPr>
    </w:p>
    <w:p w14:paraId="35D38CB3">
      <w:pPr>
        <w:spacing w:line="251" w:lineRule="auto"/>
        <w:rPr>
          <w:lang w:eastAsia="zh-CN"/>
        </w:rPr>
      </w:pPr>
    </w:p>
    <w:p w14:paraId="0FC970E5">
      <w:pPr>
        <w:spacing w:line="252" w:lineRule="auto"/>
        <w:rPr>
          <w:lang w:eastAsia="zh-CN"/>
        </w:rPr>
      </w:pPr>
    </w:p>
    <w:p w14:paraId="3DFCA7B4">
      <w:pPr>
        <w:pStyle w:val="2"/>
        <w:spacing w:before="78" w:line="417" w:lineRule="auto"/>
        <w:ind w:left="6593" w:right="12" w:hanging="2819"/>
        <w:rPr>
          <w:rFonts w:hint="eastAsia"/>
          <w:lang w:eastAsia="zh-CN"/>
        </w:rPr>
      </w:pPr>
      <w:r>
        <w:rPr>
          <w:spacing w:val="-1"/>
          <w:lang w:eastAsia="zh-CN"/>
        </w:rPr>
        <w:t>重庆望变电气（集团）股份有限公司董事会</w:t>
      </w:r>
      <w:r>
        <w:rPr>
          <w:spacing w:val="5"/>
          <w:lang w:eastAsia="zh-CN"/>
        </w:rPr>
        <w:t xml:space="preserve"> </w:t>
      </w:r>
      <w:r>
        <w:rPr>
          <w:spacing w:val="-14"/>
          <w:lang w:eastAsia="zh-CN"/>
        </w:rPr>
        <w:t>202</w:t>
      </w:r>
      <w:r>
        <w:rPr>
          <w:rFonts w:hint="eastAsia"/>
          <w:spacing w:val="-14"/>
          <w:lang w:eastAsia="zh-CN"/>
        </w:rPr>
        <w:t>5</w:t>
      </w:r>
      <w:r>
        <w:rPr>
          <w:spacing w:val="-14"/>
          <w:lang w:eastAsia="zh-CN"/>
        </w:rPr>
        <w:t>年</w:t>
      </w:r>
      <w:r>
        <w:rPr>
          <w:rFonts w:hint="eastAsia"/>
          <w:spacing w:val="-51"/>
          <w:lang w:eastAsia="zh-CN"/>
        </w:rPr>
        <w:t>2</w:t>
      </w:r>
      <w:r>
        <w:rPr>
          <w:spacing w:val="-14"/>
          <w:lang w:eastAsia="zh-CN"/>
        </w:rPr>
        <w:t>月</w:t>
      </w:r>
      <w:r>
        <w:rPr>
          <w:rFonts w:hint="eastAsia"/>
          <w:spacing w:val="-33"/>
          <w:lang w:val="en-US" w:eastAsia="zh-CN"/>
        </w:rPr>
        <w:t>18</w:t>
      </w:r>
      <w:bookmarkStart w:id="0" w:name="_GoBack"/>
      <w:bookmarkEnd w:id="0"/>
      <w:r>
        <w:rPr>
          <w:spacing w:val="-14"/>
          <w:lang w:eastAsia="zh-CN"/>
        </w:rPr>
        <w:t>日</w:t>
      </w:r>
    </w:p>
    <w:sectPr>
      <w:footerReference r:id="rId3" w:type="default"/>
      <w:pgSz w:w="11907" w:h="16839"/>
      <w:pgMar w:top="1431" w:right="1785" w:bottom="1155" w:left="1785" w:header="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47715">
    <w:pPr>
      <w:spacing w:line="167" w:lineRule="auto"/>
      <w:ind w:left="4131"/>
      <w:rPr>
        <w:rFonts w:ascii="Calibri" w:hAnsi="Calibri" w:eastAsia="Calibri" w:cs="Calibri"/>
        <w:sz w:val="18"/>
        <w:szCs w:val="18"/>
      </w:rPr>
    </w:pPr>
    <w:r>
      <w:rPr>
        <w:rFonts w:ascii="Calibri" w:hAnsi="Calibri" w:eastAsia="Calibri" w:cs="Calibri"/>
        <w:sz w:val="18"/>
        <w:szCs w:val="18"/>
      </w:rP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trackRevisions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A9"/>
    <w:rsid w:val="002D1D20"/>
    <w:rsid w:val="003672B4"/>
    <w:rsid w:val="00383A0D"/>
    <w:rsid w:val="00437BFA"/>
    <w:rsid w:val="005B06F7"/>
    <w:rsid w:val="00807E6D"/>
    <w:rsid w:val="009C0794"/>
    <w:rsid w:val="00D100D5"/>
    <w:rsid w:val="00D32B91"/>
    <w:rsid w:val="00EC7887"/>
    <w:rsid w:val="00F117A9"/>
    <w:rsid w:val="00FF789E"/>
    <w:rsid w:val="01C70C78"/>
    <w:rsid w:val="08A855DE"/>
    <w:rsid w:val="4F8A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footer"/>
    <w:basedOn w:val="1"/>
    <w:link w:val="10"/>
    <w:uiPriority w:val="0"/>
    <w:pPr>
      <w:tabs>
        <w:tab w:val="center" w:pos="4153"/>
        <w:tab w:val="right" w:pos="8306"/>
      </w:tabs>
    </w:pPr>
    <w:rPr>
      <w:sz w:val="18"/>
      <w:szCs w:val="18"/>
    </w:rPr>
  </w:style>
  <w:style w:type="paragraph" w:styleId="4">
    <w:name w:val="header"/>
    <w:basedOn w:val="1"/>
    <w:link w:val="9"/>
    <w:uiPriority w:val="0"/>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rPr>
  </w:style>
  <w:style w:type="character" w:customStyle="1" w:styleId="9">
    <w:name w:val="页眉 字符"/>
    <w:basedOn w:val="6"/>
    <w:link w:val="4"/>
    <w:uiPriority w:val="0"/>
    <w:rPr>
      <w:rFonts w:eastAsia="Arial"/>
      <w:snapToGrid w:val="0"/>
      <w:color w:val="000000"/>
      <w:sz w:val="18"/>
      <w:szCs w:val="18"/>
      <w:lang w:eastAsia="en-US"/>
    </w:rPr>
  </w:style>
  <w:style w:type="character" w:customStyle="1" w:styleId="10">
    <w:name w:val="页脚 字符"/>
    <w:basedOn w:val="6"/>
    <w:link w:val="3"/>
    <w:uiPriority w:val="0"/>
    <w:rPr>
      <w:rFonts w:eastAsia="Arial"/>
      <w:snapToGrid w:val="0"/>
      <w:color w:val="000000"/>
      <w:sz w:val="18"/>
      <w:szCs w:val="18"/>
      <w:lang w:eastAsia="en-US"/>
    </w:rPr>
  </w:style>
  <w:style w:type="paragraph" w:customStyle="1" w:styleId="11">
    <w:name w:val="Revision"/>
    <w:hidden/>
    <w:unhideWhenUsed/>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940</Words>
  <Characters>1103</Characters>
  <Lines>8</Lines>
  <Paragraphs>2</Paragraphs>
  <TotalTime>60</TotalTime>
  <ScaleCrop>false</ScaleCrop>
  <LinksUpToDate>false</LinksUpToDate>
  <CharactersWithSpaces>1134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2025-02-17T03:06:00Z</dcterms:created>
  <dc:creator>BJB-ZB-03</dc:creator>
  <cp:lastModifiedBy>雯亦</cp:lastModifiedBy>
  <dcterms:modified xsi:type="dcterms:W3CDTF">2025-02-17T04:38:48Z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2025-01-22T14:05:24Z</vt:filetime>
  </property>
  <property fmtid="{D5CDD505-2E9C-101B-9397-08002B2CF9AE}" pid="4" name="KSOTemplateDocerSaveRecord">
    <vt:lpwstr>eyJoZGlkIjoiZTQzZmRmZDMxMjkwMDE2NTk0ZWQ1ZWYwMzRmYjVhNmUiLCJ1c2VySWQiOiI2NDQwNzQxNTQifQ==</vt:lpwstr>
  </property>
  <property fmtid="{D5CDD505-2E9C-101B-9397-08002B2CF9AE}" pid="5" name="KSOProductBuildVer">
    <vt:lpwstr>2052-12.1.0.19770</vt:lpwstr>
  </property>
  <property fmtid="{D5CDD505-2E9C-101B-9397-08002B2CF9AE}" pid="6" name="ICV">
    <vt:lpwstr>4F8F47303D8049E39436BF5C25EDA958_13</vt:lpwstr>
  </property>
</Properties>
</file>