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FA102">
      <w:pPr>
        <w:spacing w:line="63" w:lineRule="exact"/>
      </w:pPr>
    </w:p>
    <w:p w14:paraId="733AC564">
      <w:pPr>
        <w:pStyle w:val="3"/>
        <w:spacing w:before="242" w:line="218" w:lineRule="auto"/>
        <w:ind w:left="49"/>
        <w:rPr>
          <w:rFonts w:hint="default" w:ascii="宋体" w:hAnsi="宋体" w:eastAsia="宋体" w:cs="宋体"/>
          <w:b/>
          <w:bCs/>
          <w:sz w:val="24"/>
          <w:szCs w:val="24"/>
          <w:lang w:val="en-US" w:eastAsia="zh-CN"/>
        </w:rPr>
      </w:pPr>
      <w:r>
        <w:rPr>
          <w:rFonts w:hint="eastAsia" w:ascii="宋体" w:hAnsi="宋体" w:eastAsia="宋体" w:cs="宋体"/>
          <w:b/>
          <w:bCs/>
          <w:spacing w:val="-8"/>
          <w:sz w:val="24"/>
          <w:szCs w:val="24"/>
          <w:lang w:eastAsia="zh-CN"/>
        </w:rPr>
        <w:t>证券代码：603191            证券简称：</w:t>
      </w:r>
      <w:r>
        <w:rPr>
          <w:rFonts w:hint="eastAsia" w:ascii="宋体" w:hAnsi="宋体" w:eastAsia="宋体" w:cs="宋体"/>
          <w:b/>
          <w:bCs/>
          <w:spacing w:val="-12"/>
          <w:sz w:val="24"/>
          <w:szCs w:val="24"/>
          <w:lang w:eastAsia="zh-CN"/>
        </w:rPr>
        <w:t xml:space="preserve">望变电气  </w:t>
      </w:r>
      <w:r>
        <w:rPr>
          <w:rFonts w:hint="eastAsia" w:ascii="宋体" w:hAnsi="宋体" w:eastAsia="宋体" w:cs="宋体"/>
          <w:b/>
          <w:bCs/>
          <w:spacing w:val="2"/>
          <w:sz w:val="24"/>
          <w:szCs w:val="24"/>
          <w:lang w:eastAsia="zh-CN"/>
        </w:rPr>
        <w:t xml:space="preserve">         </w:t>
      </w:r>
      <w:r>
        <w:rPr>
          <w:rFonts w:hint="eastAsia" w:ascii="宋体" w:hAnsi="宋体" w:eastAsia="宋体" w:cs="宋体"/>
          <w:b/>
          <w:bCs/>
          <w:spacing w:val="-8"/>
          <w:sz w:val="24"/>
          <w:szCs w:val="24"/>
          <w:lang w:eastAsia="zh-CN"/>
        </w:rPr>
        <w:t>公告编号：2025-</w:t>
      </w:r>
      <w:r>
        <w:rPr>
          <w:rFonts w:hint="eastAsia" w:ascii="宋体" w:hAnsi="宋体" w:eastAsia="宋体" w:cs="宋体"/>
          <w:b/>
          <w:bCs/>
          <w:spacing w:val="-8"/>
          <w:sz w:val="24"/>
          <w:szCs w:val="24"/>
          <w:lang w:val="en-US" w:eastAsia="zh-CN"/>
        </w:rPr>
        <w:t>006</w:t>
      </w:r>
    </w:p>
    <w:p w14:paraId="6512395F">
      <w:pPr>
        <w:pStyle w:val="3"/>
        <w:spacing w:before="117" w:line="220" w:lineRule="auto"/>
        <w:jc w:val="both"/>
        <w:outlineLvl w:val="0"/>
        <w:rPr>
          <w:rFonts w:hint="eastAsia"/>
          <w:color w:val="FF0000"/>
          <w:sz w:val="36"/>
          <w:szCs w:val="36"/>
          <w:lang w:eastAsia="zh-CN"/>
          <w14:textOutline w14:w="6527" w14:cap="flat" w14:cmpd="sng" w14:algn="ctr">
            <w14:solidFill>
              <w14:srgbClr w14:val="FF0000"/>
            </w14:solidFill>
            <w14:prstDash w14:val="solid"/>
            <w14:miter w14:val="0"/>
          </w14:textOutline>
        </w:rPr>
      </w:pPr>
    </w:p>
    <w:p w14:paraId="5B606978">
      <w:pPr>
        <w:spacing w:line="275" w:lineRule="auto"/>
        <w:rPr>
          <w:lang w:eastAsia="zh-CN"/>
        </w:rPr>
      </w:pPr>
    </w:p>
    <w:p w14:paraId="23EBB8A2">
      <w:pPr>
        <w:spacing w:line="276" w:lineRule="auto"/>
        <w:rPr>
          <w:lang w:eastAsia="zh-CN"/>
        </w:rPr>
      </w:pPr>
    </w:p>
    <w:p w14:paraId="1A41F955">
      <w:pPr>
        <w:spacing w:line="276" w:lineRule="auto"/>
        <w:rPr>
          <w:lang w:eastAsia="zh-CN"/>
        </w:rPr>
      </w:pPr>
    </w:p>
    <w:p w14:paraId="458B97B1">
      <w:pPr>
        <w:spacing w:before="300" w:line="224" w:lineRule="auto"/>
        <w:jc w:val="center"/>
        <w:outlineLvl w:val="0"/>
        <w:rPr>
          <w:rFonts w:hint="eastAsia" w:asciiTheme="majorEastAsia" w:hAnsiTheme="majorEastAsia" w:eastAsiaTheme="majorEastAsia" w:cstheme="majorEastAsia"/>
          <w:b/>
          <w:bCs/>
          <w:color w:val="FF0000"/>
          <w:spacing w:val="6"/>
          <w:sz w:val="36"/>
          <w:szCs w:val="36"/>
          <w:lang w:eastAsia="zh-CN"/>
        </w:rPr>
      </w:pPr>
      <w:r>
        <w:rPr>
          <w:rFonts w:hint="eastAsia" w:asciiTheme="majorEastAsia" w:hAnsiTheme="majorEastAsia" w:eastAsiaTheme="majorEastAsia" w:cstheme="majorEastAsia"/>
          <w:b/>
          <w:bCs/>
          <w:color w:val="FF0000"/>
          <w:spacing w:val="6"/>
          <w:sz w:val="36"/>
          <w:szCs w:val="36"/>
          <w:lang w:eastAsia="zh-CN"/>
        </w:rPr>
        <w:t>重庆望变电气（集团）股份有限公司</w:t>
      </w:r>
    </w:p>
    <w:p w14:paraId="2D39CBF5">
      <w:pPr>
        <w:spacing w:before="300" w:line="224" w:lineRule="auto"/>
        <w:jc w:val="center"/>
        <w:outlineLvl w:val="0"/>
        <w:rPr>
          <w:rFonts w:hint="eastAsia" w:asciiTheme="majorEastAsia" w:hAnsiTheme="majorEastAsia" w:eastAsiaTheme="majorEastAsia" w:cstheme="majorEastAsia"/>
          <w:b/>
          <w:bCs/>
          <w:color w:val="FF0000"/>
          <w:spacing w:val="5"/>
          <w:sz w:val="36"/>
          <w:szCs w:val="36"/>
          <w:lang w:eastAsia="zh-CN"/>
        </w:rPr>
      </w:pPr>
      <w:r>
        <w:rPr>
          <w:rFonts w:hint="eastAsia" w:asciiTheme="majorEastAsia" w:hAnsiTheme="majorEastAsia" w:eastAsiaTheme="majorEastAsia" w:cstheme="majorEastAsia"/>
          <w:b/>
          <w:bCs/>
          <w:color w:val="FF0000"/>
          <w:spacing w:val="5"/>
          <w:sz w:val="36"/>
          <w:szCs w:val="36"/>
          <w:lang w:eastAsia="zh-CN"/>
        </w:rPr>
        <w:t>关于向2024年限制性股票激励计划激励对象</w:t>
      </w:r>
    </w:p>
    <w:p w14:paraId="3AEA06E7">
      <w:pPr>
        <w:spacing w:before="300" w:line="224" w:lineRule="auto"/>
        <w:jc w:val="center"/>
        <w:outlineLvl w:val="0"/>
        <w:rPr>
          <w:rFonts w:hint="eastAsia" w:asciiTheme="majorEastAsia" w:hAnsiTheme="majorEastAsia" w:eastAsiaTheme="majorEastAsia" w:cstheme="majorEastAsia"/>
          <w:sz w:val="36"/>
          <w:szCs w:val="36"/>
          <w:lang w:eastAsia="zh-CN"/>
        </w:rPr>
      </w:pPr>
      <w:bookmarkStart w:id="0" w:name="OLE_LINK2"/>
      <w:r>
        <w:rPr>
          <w:rFonts w:hint="eastAsia" w:asciiTheme="majorEastAsia" w:hAnsiTheme="majorEastAsia" w:eastAsiaTheme="majorEastAsia" w:cstheme="majorEastAsia"/>
          <w:b/>
          <w:bCs/>
          <w:color w:val="FF0000"/>
          <w:spacing w:val="7"/>
          <w:sz w:val="36"/>
          <w:szCs w:val="36"/>
          <w:lang w:eastAsia="zh-CN"/>
        </w:rPr>
        <w:t>授予预留部分限制性股票的</w:t>
      </w:r>
      <w:bookmarkEnd w:id="0"/>
      <w:r>
        <w:rPr>
          <w:rFonts w:hint="eastAsia" w:asciiTheme="majorEastAsia" w:hAnsiTheme="majorEastAsia" w:eastAsiaTheme="majorEastAsia" w:cstheme="majorEastAsia"/>
          <w:b/>
          <w:bCs/>
          <w:color w:val="FF0000"/>
          <w:spacing w:val="7"/>
          <w:sz w:val="36"/>
          <w:szCs w:val="36"/>
          <w:lang w:eastAsia="zh-CN"/>
        </w:rPr>
        <w:t>公告</w:t>
      </w:r>
    </w:p>
    <w:p w14:paraId="42293F73">
      <w:pPr>
        <w:spacing w:before="10"/>
        <w:rPr>
          <w:lang w:eastAsia="zh-CN"/>
        </w:rPr>
      </w:pPr>
    </w:p>
    <w:tbl>
      <w:tblPr>
        <w:tblStyle w:val="10"/>
        <w:tblW w:w="907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5"/>
      </w:tblGrid>
      <w:tr w14:paraId="554B789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2" w:hRule="atLeast"/>
        </w:trPr>
        <w:tc>
          <w:tcPr>
            <w:tcW w:w="9075" w:type="dxa"/>
          </w:tcPr>
          <w:p w14:paraId="1876CFD8">
            <w:pPr>
              <w:spacing w:before="64" w:line="350" w:lineRule="auto"/>
              <w:ind w:left="132" w:right="118" w:firstLine="601"/>
              <w:jc w:val="both"/>
              <w:rPr>
                <w:rFonts w:hint="eastAsia" w:ascii="仿宋" w:hAnsi="仿宋" w:eastAsia="仿宋" w:cs="仿宋"/>
                <w:sz w:val="24"/>
                <w:szCs w:val="24"/>
                <w:lang w:eastAsia="zh-CN"/>
              </w:rPr>
            </w:pPr>
            <w:r>
              <w:rPr>
                <w:rFonts w:ascii="仿宋" w:hAnsi="仿宋" w:eastAsia="仿宋" w:cs="仿宋"/>
                <w:spacing w:val="16"/>
                <w:sz w:val="30"/>
                <w:szCs w:val="30"/>
                <w:lang w:eastAsia="zh-CN"/>
              </w:rPr>
              <w:t>本公司董事会及全体董事保证本公告内容不存在任何虚假记</w:t>
            </w:r>
            <w:r>
              <w:rPr>
                <w:rFonts w:ascii="仿宋" w:hAnsi="仿宋" w:eastAsia="仿宋" w:cs="仿宋"/>
                <w:sz w:val="30"/>
                <w:szCs w:val="30"/>
                <w:lang w:eastAsia="zh-CN"/>
              </w:rPr>
              <w:t xml:space="preserve"> </w:t>
            </w:r>
            <w:r>
              <w:rPr>
                <w:rFonts w:ascii="仿宋" w:hAnsi="仿宋" w:eastAsia="仿宋" w:cs="仿宋"/>
                <w:spacing w:val="4"/>
                <w:sz w:val="30"/>
                <w:szCs w:val="30"/>
                <w:lang w:eastAsia="zh-CN"/>
              </w:rPr>
              <w:t>载、误导性陈述或者重大遗漏，并对其内容的真实性、准确性</w:t>
            </w:r>
            <w:r>
              <w:rPr>
                <w:rFonts w:ascii="仿宋" w:hAnsi="仿宋" w:eastAsia="仿宋" w:cs="仿宋"/>
                <w:spacing w:val="3"/>
                <w:sz w:val="30"/>
                <w:szCs w:val="30"/>
                <w:lang w:eastAsia="zh-CN"/>
              </w:rPr>
              <w:t>和完</w:t>
            </w:r>
            <w:r>
              <w:rPr>
                <w:rFonts w:ascii="仿宋" w:hAnsi="仿宋" w:eastAsia="仿宋" w:cs="仿宋"/>
                <w:sz w:val="30"/>
                <w:szCs w:val="30"/>
                <w:lang w:eastAsia="zh-CN"/>
              </w:rPr>
              <w:t xml:space="preserve"> </w:t>
            </w:r>
            <w:r>
              <w:rPr>
                <w:rFonts w:ascii="仿宋" w:hAnsi="仿宋" w:eastAsia="仿宋" w:cs="仿宋"/>
                <w:spacing w:val="-3"/>
                <w:sz w:val="30"/>
                <w:szCs w:val="30"/>
                <w:lang w:eastAsia="zh-CN"/>
              </w:rPr>
              <w:t>整性承担法律责任</w:t>
            </w:r>
            <w:r>
              <w:rPr>
                <w:rFonts w:ascii="仿宋" w:hAnsi="仿宋" w:eastAsia="仿宋" w:cs="仿宋"/>
                <w:spacing w:val="-3"/>
                <w:sz w:val="24"/>
                <w:szCs w:val="24"/>
                <w:lang w:eastAsia="zh-CN"/>
              </w:rPr>
              <w:t>。</w:t>
            </w:r>
          </w:p>
        </w:tc>
      </w:tr>
    </w:tbl>
    <w:p w14:paraId="763185F0">
      <w:pPr>
        <w:spacing w:line="255" w:lineRule="auto"/>
        <w:rPr>
          <w:lang w:eastAsia="zh-CN"/>
        </w:rPr>
      </w:pPr>
    </w:p>
    <w:p w14:paraId="5BA1F532">
      <w:pPr>
        <w:pStyle w:val="3"/>
        <w:spacing w:before="97" w:line="560" w:lineRule="exact"/>
        <w:rPr>
          <w:rFonts w:hint="eastAsia" w:ascii="宋体" w:hAnsi="宋体" w:eastAsia="宋体" w:cs="宋体"/>
          <w:sz w:val="24"/>
          <w:szCs w:val="24"/>
        </w:rPr>
      </w:pPr>
      <w:r>
        <w:rPr>
          <w:rFonts w:hint="eastAsia" w:ascii="宋体" w:hAnsi="宋体" w:eastAsia="宋体" w:cs="宋体"/>
          <w:b/>
          <w:bCs/>
          <w:spacing w:val="-12"/>
          <w:sz w:val="24"/>
          <w:szCs w:val="24"/>
        </w:rPr>
        <w:t>重要内容提示：</w:t>
      </w:r>
    </w:p>
    <w:p w14:paraId="143E9CFD">
      <w:pPr>
        <w:pStyle w:val="3"/>
        <w:numPr>
          <w:ilvl w:val="0"/>
          <w:numId w:val="1"/>
        </w:numPr>
        <w:spacing w:before="97" w:line="560" w:lineRule="exact"/>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限制性股票预留授予日：</w:t>
      </w:r>
      <w:r>
        <w:rPr>
          <w:rFonts w:hint="eastAsia" w:ascii="宋体" w:hAnsi="宋体" w:eastAsia="宋体" w:cs="宋体"/>
          <w:spacing w:val="-10"/>
          <w:sz w:val="24"/>
          <w:szCs w:val="24"/>
          <w:highlight w:val="none"/>
          <w:lang w:eastAsia="zh-CN"/>
        </w:rPr>
        <w:t>2025年1月2</w:t>
      </w:r>
      <w:r>
        <w:rPr>
          <w:rFonts w:hint="eastAsia" w:ascii="宋体" w:hAnsi="宋体" w:eastAsia="宋体" w:cs="宋体"/>
          <w:spacing w:val="-10"/>
          <w:sz w:val="24"/>
          <w:szCs w:val="24"/>
          <w:highlight w:val="none"/>
          <w:lang w:val="en-US" w:eastAsia="zh-CN"/>
        </w:rPr>
        <w:t>0</w:t>
      </w:r>
      <w:r>
        <w:rPr>
          <w:rFonts w:hint="eastAsia" w:ascii="宋体" w:hAnsi="宋体" w:eastAsia="宋体" w:cs="宋体"/>
          <w:spacing w:val="-10"/>
          <w:sz w:val="24"/>
          <w:szCs w:val="24"/>
          <w:highlight w:val="none"/>
          <w:lang w:eastAsia="zh-CN"/>
        </w:rPr>
        <w:t>日</w:t>
      </w:r>
      <w:r>
        <w:rPr>
          <w:rFonts w:hint="eastAsia" w:ascii="宋体" w:hAnsi="宋体" w:eastAsia="宋体" w:cs="宋体"/>
          <w:spacing w:val="-10"/>
          <w:sz w:val="24"/>
          <w:szCs w:val="24"/>
          <w:lang w:eastAsia="zh-CN"/>
        </w:rPr>
        <w:t>。</w:t>
      </w:r>
    </w:p>
    <w:p w14:paraId="26A4892B">
      <w:pPr>
        <w:pStyle w:val="3"/>
        <w:numPr>
          <w:ilvl w:val="0"/>
          <w:numId w:val="1"/>
        </w:numPr>
        <w:spacing w:before="97" w:line="560" w:lineRule="exact"/>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限制性股票预留授予人数：</w:t>
      </w:r>
      <w:r>
        <w:rPr>
          <w:rFonts w:hint="eastAsia" w:ascii="宋体" w:hAnsi="宋体" w:eastAsia="宋体" w:cs="宋体"/>
          <w:spacing w:val="-6"/>
          <w:sz w:val="24"/>
          <w:szCs w:val="24"/>
          <w:highlight w:val="none"/>
          <w:lang w:eastAsia="zh-CN"/>
        </w:rPr>
        <w:t>32</w:t>
      </w:r>
      <w:r>
        <w:rPr>
          <w:rFonts w:hint="eastAsia" w:ascii="宋体" w:hAnsi="宋体" w:eastAsia="宋体" w:cs="宋体"/>
          <w:spacing w:val="-6"/>
          <w:sz w:val="24"/>
          <w:szCs w:val="24"/>
          <w:lang w:eastAsia="zh-CN"/>
        </w:rPr>
        <w:t>人。</w:t>
      </w:r>
    </w:p>
    <w:p w14:paraId="6293CCA3">
      <w:pPr>
        <w:pStyle w:val="3"/>
        <w:numPr>
          <w:ilvl w:val="0"/>
          <w:numId w:val="1"/>
        </w:numPr>
        <w:spacing w:before="97" w:line="560" w:lineRule="exact"/>
        <w:rPr>
          <w:rFonts w:hint="eastAsia" w:ascii="宋体" w:hAnsi="宋体" w:eastAsia="宋体" w:cs="宋体"/>
          <w:sz w:val="24"/>
          <w:szCs w:val="24"/>
          <w:lang w:eastAsia="zh-CN"/>
        </w:rPr>
      </w:pPr>
      <w:r>
        <w:rPr>
          <w:rFonts w:hint="eastAsia" w:ascii="宋体" w:hAnsi="宋体" w:eastAsia="宋体" w:cs="宋体"/>
          <w:spacing w:val="-84"/>
          <w:sz w:val="24"/>
          <w:szCs w:val="24"/>
          <w:lang w:eastAsia="zh-CN"/>
        </w:rPr>
        <w:t xml:space="preserve"> </w:t>
      </w:r>
      <w:r>
        <w:rPr>
          <w:rFonts w:hint="eastAsia" w:ascii="宋体" w:hAnsi="宋体" w:eastAsia="宋体" w:cs="宋体"/>
          <w:spacing w:val="-6"/>
          <w:sz w:val="24"/>
          <w:szCs w:val="24"/>
          <w:lang w:eastAsia="zh-CN"/>
        </w:rPr>
        <w:t>限制性股票预留授予数量：</w:t>
      </w:r>
      <w:r>
        <w:rPr>
          <w:rFonts w:hint="eastAsia" w:ascii="宋体" w:hAnsi="宋体" w:eastAsia="宋体" w:cs="宋体"/>
          <w:spacing w:val="-6"/>
          <w:sz w:val="24"/>
          <w:szCs w:val="24"/>
          <w:highlight w:val="none"/>
          <w:lang w:eastAsia="zh-CN"/>
        </w:rPr>
        <w:t>6</w:t>
      </w:r>
      <w:r>
        <w:rPr>
          <w:rFonts w:ascii="宋体" w:hAnsi="宋体" w:eastAsia="宋体" w:cs="宋体"/>
          <w:spacing w:val="-6"/>
          <w:sz w:val="24"/>
          <w:szCs w:val="24"/>
          <w:highlight w:val="none"/>
          <w:lang w:eastAsia="zh-CN"/>
        </w:rPr>
        <w:t>0</w:t>
      </w:r>
      <w:r>
        <w:rPr>
          <w:rFonts w:hint="eastAsia" w:ascii="宋体" w:hAnsi="宋体" w:eastAsia="宋体" w:cs="宋体"/>
          <w:spacing w:val="-6"/>
          <w:sz w:val="24"/>
          <w:szCs w:val="24"/>
          <w:lang w:eastAsia="zh-CN"/>
        </w:rPr>
        <w:t>万股。</w:t>
      </w:r>
    </w:p>
    <w:p w14:paraId="285BDD96">
      <w:pPr>
        <w:pStyle w:val="3"/>
        <w:numPr>
          <w:ilvl w:val="0"/>
          <w:numId w:val="1"/>
        </w:numPr>
        <w:spacing w:before="97" w:line="560" w:lineRule="exact"/>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限制性股票预留授予价格：</w:t>
      </w:r>
      <w:r>
        <w:rPr>
          <w:rFonts w:hint="eastAsia" w:ascii="宋体" w:hAnsi="宋体" w:eastAsia="宋体" w:cs="宋体"/>
          <w:spacing w:val="-5"/>
          <w:sz w:val="24"/>
          <w:szCs w:val="24"/>
          <w:lang w:val="en-US" w:eastAsia="zh-CN"/>
        </w:rPr>
        <w:t>7.94</w:t>
      </w:r>
      <w:r>
        <w:rPr>
          <w:rFonts w:hint="eastAsia" w:ascii="宋体" w:hAnsi="宋体" w:eastAsia="宋体" w:cs="宋体"/>
          <w:spacing w:val="-5"/>
          <w:sz w:val="24"/>
          <w:szCs w:val="24"/>
          <w:lang w:eastAsia="zh-CN"/>
        </w:rPr>
        <w:t>元/股</w:t>
      </w:r>
    </w:p>
    <w:p w14:paraId="305B7DD0">
      <w:pPr>
        <w:spacing w:line="322" w:lineRule="auto"/>
        <w:rPr>
          <w:rFonts w:hint="eastAsia" w:ascii="宋体" w:hAnsi="宋体" w:eastAsia="宋体" w:cs="宋体"/>
          <w:sz w:val="24"/>
          <w:szCs w:val="24"/>
          <w:lang w:eastAsia="zh-CN"/>
        </w:rPr>
      </w:pPr>
    </w:p>
    <w:p w14:paraId="443846BE">
      <w:pPr>
        <w:pStyle w:val="3"/>
        <w:spacing w:before="98" w:line="560" w:lineRule="exact"/>
        <w:ind w:right="28" w:firstLine="420" w:firstLineChars="200"/>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《重庆望变电气（集团）股份有限公司 2024年限制性股票激励计划》（以</w:t>
      </w:r>
      <w:r>
        <w:rPr>
          <w:rFonts w:hint="eastAsia" w:ascii="宋体" w:hAnsi="宋体" w:eastAsia="宋体" w:cs="宋体"/>
          <w:spacing w:val="4"/>
          <w:sz w:val="24"/>
          <w:szCs w:val="24"/>
          <w:lang w:eastAsia="zh-CN"/>
        </w:rPr>
        <w:t>下简称《激励计划》或“本激励计划”）规定的限制性股票</w:t>
      </w:r>
      <w:r>
        <w:rPr>
          <w:rFonts w:hint="eastAsia" w:ascii="宋体" w:hAnsi="宋体" w:eastAsia="宋体" w:cs="宋体"/>
          <w:spacing w:val="3"/>
          <w:sz w:val="24"/>
          <w:szCs w:val="24"/>
          <w:lang w:eastAsia="zh-CN"/>
        </w:rPr>
        <w:t>预留授</w:t>
      </w:r>
      <w:r>
        <w:rPr>
          <w:rFonts w:hint="eastAsia" w:ascii="宋体" w:hAnsi="宋体" w:eastAsia="宋体" w:cs="宋体"/>
          <w:spacing w:val="4"/>
          <w:sz w:val="24"/>
          <w:szCs w:val="24"/>
          <w:lang w:eastAsia="zh-CN"/>
        </w:rPr>
        <w:t>予条件已经成就，根据重庆望变电气（集团）股份有限公司（以下简</w:t>
      </w:r>
      <w:r>
        <w:rPr>
          <w:rFonts w:hint="eastAsia" w:ascii="宋体" w:hAnsi="宋体" w:eastAsia="宋体" w:cs="宋体"/>
          <w:spacing w:val="3"/>
          <w:sz w:val="24"/>
          <w:szCs w:val="24"/>
          <w:lang w:eastAsia="zh-CN"/>
        </w:rPr>
        <w:t>称“公</w:t>
      </w:r>
      <w:r>
        <w:rPr>
          <w:rFonts w:hint="eastAsia" w:ascii="宋体" w:hAnsi="宋体" w:eastAsia="宋体" w:cs="宋体"/>
          <w:spacing w:val="-6"/>
          <w:sz w:val="24"/>
          <w:szCs w:val="24"/>
          <w:lang w:eastAsia="zh-CN"/>
        </w:rPr>
        <w:t>司”）2024年第一次临时股东大会的授权，公司于</w:t>
      </w:r>
      <w:r>
        <w:rPr>
          <w:rFonts w:hint="eastAsia" w:ascii="宋体" w:hAnsi="宋体" w:eastAsia="宋体" w:cs="宋体"/>
          <w:spacing w:val="-66"/>
          <w:sz w:val="24"/>
          <w:szCs w:val="24"/>
          <w:lang w:eastAsia="zh-CN"/>
        </w:rPr>
        <w:t xml:space="preserve"> </w:t>
      </w:r>
      <w:r>
        <w:rPr>
          <w:rFonts w:hint="eastAsia" w:ascii="宋体" w:hAnsi="宋体" w:eastAsia="宋体" w:cs="宋体"/>
          <w:spacing w:val="-6"/>
          <w:sz w:val="24"/>
          <w:szCs w:val="24"/>
          <w:lang w:eastAsia="zh-CN"/>
        </w:rPr>
        <w:t>2025年1月</w:t>
      </w:r>
      <w:r>
        <w:rPr>
          <w:rFonts w:hint="eastAsia" w:ascii="宋体" w:hAnsi="宋体" w:eastAsia="宋体" w:cs="宋体"/>
          <w:spacing w:val="-41"/>
          <w:sz w:val="24"/>
          <w:szCs w:val="24"/>
          <w:lang w:val="en-US" w:eastAsia="zh-CN"/>
        </w:rPr>
        <w:t>20</w:t>
      </w:r>
      <w:r>
        <w:rPr>
          <w:rFonts w:hint="eastAsia" w:ascii="宋体" w:hAnsi="宋体" w:eastAsia="宋体" w:cs="宋体"/>
          <w:spacing w:val="4"/>
          <w:sz w:val="24"/>
          <w:szCs w:val="24"/>
          <w:lang w:eastAsia="zh-CN"/>
        </w:rPr>
        <w:t>日召开第四届董事会第十次会议、第四届监事会</w:t>
      </w:r>
      <w:r>
        <w:rPr>
          <w:rFonts w:hint="eastAsia" w:ascii="宋体" w:hAnsi="宋体" w:eastAsia="宋体" w:cs="宋体"/>
          <w:spacing w:val="3"/>
          <w:sz w:val="24"/>
          <w:szCs w:val="24"/>
          <w:lang w:eastAsia="zh-CN"/>
        </w:rPr>
        <w:t>第九次会议，</w:t>
      </w:r>
      <w:r>
        <w:rPr>
          <w:rFonts w:hint="eastAsia" w:ascii="宋体" w:hAnsi="宋体" w:eastAsia="宋体" w:cs="宋体"/>
          <w:spacing w:val="-4"/>
          <w:sz w:val="24"/>
          <w:szCs w:val="24"/>
          <w:lang w:eastAsia="zh-CN"/>
        </w:rPr>
        <w:t>审议通过了《关于向2024年限制性股票激励计划激励对象授予预留</w:t>
      </w:r>
      <w:r>
        <w:rPr>
          <w:rFonts w:hint="eastAsia" w:ascii="宋体" w:hAnsi="宋体" w:eastAsia="宋体" w:cs="宋体"/>
          <w:spacing w:val="-8"/>
          <w:sz w:val="24"/>
          <w:szCs w:val="24"/>
          <w:lang w:eastAsia="zh-CN"/>
        </w:rPr>
        <w:t>部分限制性股票的议案》，确定预留授予日为</w:t>
      </w:r>
      <w:r>
        <w:rPr>
          <w:rFonts w:hint="eastAsia" w:ascii="宋体" w:hAnsi="宋体" w:eastAsia="宋体" w:cs="宋体"/>
          <w:spacing w:val="-42"/>
          <w:sz w:val="24"/>
          <w:szCs w:val="24"/>
          <w:lang w:eastAsia="zh-CN"/>
        </w:rPr>
        <w:t xml:space="preserve"> </w:t>
      </w:r>
      <w:r>
        <w:rPr>
          <w:rFonts w:hint="eastAsia" w:ascii="宋体" w:hAnsi="宋体" w:eastAsia="宋体" w:cs="宋体"/>
          <w:spacing w:val="-10"/>
          <w:sz w:val="24"/>
          <w:szCs w:val="24"/>
          <w:highlight w:val="none"/>
          <w:lang w:eastAsia="zh-CN"/>
        </w:rPr>
        <w:t>2025年1月2</w:t>
      </w:r>
      <w:r>
        <w:rPr>
          <w:rFonts w:hint="eastAsia" w:ascii="宋体" w:hAnsi="宋体" w:eastAsia="宋体" w:cs="宋体"/>
          <w:spacing w:val="-10"/>
          <w:sz w:val="24"/>
          <w:szCs w:val="24"/>
          <w:highlight w:val="none"/>
          <w:lang w:val="en-US" w:eastAsia="zh-CN"/>
        </w:rPr>
        <w:t>0</w:t>
      </w:r>
      <w:r>
        <w:rPr>
          <w:rFonts w:hint="eastAsia" w:ascii="宋体" w:hAnsi="宋体" w:eastAsia="宋体" w:cs="宋体"/>
          <w:spacing w:val="-10"/>
          <w:sz w:val="24"/>
          <w:szCs w:val="24"/>
          <w:highlight w:val="none"/>
          <w:lang w:eastAsia="zh-CN"/>
        </w:rPr>
        <w:t>日，</w:t>
      </w:r>
      <w:r>
        <w:rPr>
          <w:rFonts w:hint="eastAsia" w:ascii="宋体" w:hAnsi="宋体" w:eastAsia="宋体" w:cs="宋体"/>
          <w:spacing w:val="-4"/>
          <w:sz w:val="24"/>
          <w:szCs w:val="24"/>
          <w:lang w:eastAsia="zh-CN"/>
        </w:rPr>
        <w:t>向符合预留授予条件的</w:t>
      </w:r>
      <w:r>
        <w:rPr>
          <w:rFonts w:hint="eastAsia" w:ascii="宋体" w:hAnsi="宋体" w:eastAsia="宋体" w:cs="宋体"/>
          <w:spacing w:val="-53"/>
          <w:sz w:val="24"/>
          <w:szCs w:val="24"/>
          <w:lang w:eastAsia="zh-CN"/>
        </w:rPr>
        <w:t xml:space="preserve"> </w:t>
      </w:r>
      <w:r>
        <w:rPr>
          <w:rFonts w:hint="eastAsia" w:ascii="宋体" w:hAnsi="宋体" w:eastAsia="宋体" w:cs="宋体"/>
          <w:spacing w:val="-4"/>
          <w:sz w:val="24"/>
          <w:szCs w:val="24"/>
          <w:highlight w:val="none"/>
          <w:lang w:eastAsia="zh-CN"/>
        </w:rPr>
        <w:t>32</w:t>
      </w:r>
      <w:r>
        <w:rPr>
          <w:rFonts w:hint="eastAsia" w:ascii="宋体" w:hAnsi="宋体" w:eastAsia="宋体" w:cs="宋体"/>
          <w:spacing w:val="-4"/>
          <w:sz w:val="24"/>
          <w:szCs w:val="24"/>
          <w:lang w:eastAsia="zh-CN"/>
        </w:rPr>
        <w:t>名激励对象授予</w:t>
      </w:r>
      <w:r>
        <w:rPr>
          <w:rFonts w:hint="eastAsia" w:ascii="宋体" w:hAnsi="宋体" w:eastAsia="宋体" w:cs="宋体"/>
          <w:spacing w:val="-4"/>
          <w:sz w:val="24"/>
          <w:szCs w:val="24"/>
          <w:highlight w:val="none"/>
          <w:lang w:eastAsia="zh-CN"/>
        </w:rPr>
        <w:t>60</w:t>
      </w:r>
      <w:r>
        <w:rPr>
          <w:rFonts w:hint="eastAsia" w:ascii="宋体" w:hAnsi="宋体" w:eastAsia="宋体" w:cs="宋体"/>
          <w:spacing w:val="-4"/>
          <w:sz w:val="24"/>
          <w:szCs w:val="24"/>
          <w:lang w:eastAsia="zh-CN"/>
        </w:rPr>
        <w:t>万股限制性股票。现</w:t>
      </w:r>
      <w:r>
        <w:rPr>
          <w:rFonts w:hint="eastAsia" w:ascii="宋体" w:hAnsi="宋体" w:eastAsia="宋体" w:cs="宋体"/>
          <w:spacing w:val="-8"/>
          <w:sz w:val="24"/>
          <w:szCs w:val="24"/>
          <w:lang w:eastAsia="zh-CN"/>
        </w:rPr>
        <w:t>将有关内容公告如下：</w:t>
      </w:r>
    </w:p>
    <w:p w14:paraId="538E51BC">
      <w:pPr>
        <w:spacing w:before="98" w:line="560" w:lineRule="exact"/>
        <w:ind w:firstLine="462" w:firstLineChars="200"/>
        <w:outlineLvl w:val="1"/>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一、限制性股票授予情况</w:t>
      </w:r>
    </w:p>
    <w:p w14:paraId="6086D368">
      <w:pPr>
        <w:spacing w:before="223" w:line="560" w:lineRule="exact"/>
        <w:ind w:right="13" w:firstLine="488" w:firstLineChars="200"/>
        <w:jc w:val="both"/>
        <w:outlineLvl w:val="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（一）</w:t>
      </w:r>
      <w:r>
        <w:rPr>
          <w:rFonts w:hint="eastAsia" w:ascii="宋体" w:hAnsi="宋体" w:eastAsia="宋体" w:cs="宋体"/>
          <w:spacing w:val="-32"/>
          <w:sz w:val="24"/>
          <w:szCs w:val="24"/>
          <w:lang w:eastAsia="zh-CN"/>
        </w:rPr>
        <w:t xml:space="preserve"> </w:t>
      </w:r>
      <w:r>
        <w:rPr>
          <w:rFonts w:hint="eastAsia" w:ascii="宋体" w:hAnsi="宋体" w:eastAsia="宋体" w:cs="宋体"/>
          <w:spacing w:val="2"/>
          <w:sz w:val="24"/>
          <w:szCs w:val="24"/>
          <w:lang w:eastAsia="zh-CN"/>
        </w:rPr>
        <w:t>本次限制性股票激励计划已履行的决策程序和信息披露情况</w:t>
      </w:r>
    </w:p>
    <w:p w14:paraId="691309DA">
      <w:pPr>
        <w:pStyle w:val="3"/>
        <w:spacing w:line="560" w:lineRule="exact"/>
        <w:ind w:firstLine="432" w:firstLineChars="200"/>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2024年1月18日，公司召开第四届董事会第二次会议审议通过了《关于公司&lt;2024年限制性股票激励计划（草案）&gt;及其摘要的议案》《关于公司&lt;2024年限制性股票激励计划实施考核管理办法&gt;的议案》《关于提请股东大会授权董事会办理公司2024年限制性股票激励计划相关事宜的议案》，公司独立董事就本次激励计划及其他相关议案发表了独立意见，公司独立董事赵宇就提交股东大会审议本次激励计划相关议案向全体股东征集了投票权，北京市嘉源律师事务所就激励计划出具了法律意见书。</w:t>
      </w:r>
    </w:p>
    <w:p w14:paraId="529688FB">
      <w:pPr>
        <w:pStyle w:val="3"/>
        <w:spacing w:line="560" w:lineRule="exact"/>
        <w:ind w:firstLine="472"/>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2024年1月18日，公司召开第四届监事会第二次会议审议通过了《关于公司&lt;2024年限制性股票激励计划（草案）&gt;及其摘要的议案》《关于核实公司&lt;2024年限制性股票激励计划激励对象名单&gt;的议案》《关于公司&lt;2024年限制性股票激励计划实施考核管理办法&gt;的议案》，公司监事会就激励计划相关出具了核查意见。</w:t>
      </w:r>
    </w:p>
    <w:p w14:paraId="34AE09ED">
      <w:pPr>
        <w:pStyle w:val="3"/>
        <w:spacing w:line="560" w:lineRule="exact"/>
        <w:ind w:firstLine="472"/>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2024年1月22日，公司在上海证券交易所网站（www.sse.com.cn）上披露了《重庆望变电气（集团）股份有限公司2024年限制性股票激励计划激励对象名单》（以下简称激励对象名单），并于2024年1月22日在公司内部通过公司内网公示了激励对象名单，公示时间为2024年1月22日至2024年1月31日。截至公示期满，公司未收到任何组织或个人对本次拟激励对象提出的异议，监事会于2024年2月2日发表了《关于公司2024年限制性股票激励计划激励对象名单的核查意见及公示情况说明》。</w:t>
      </w:r>
    </w:p>
    <w:p w14:paraId="2473D379">
      <w:pPr>
        <w:pStyle w:val="3"/>
        <w:spacing w:line="560" w:lineRule="exact"/>
        <w:ind w:firstLine="472"/>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2024年2月6日，公司召开了2024年第一次临时股东大会，审议通过了《关于公司&lt;2024年限制性股票激励计划（草案）&gt;及其摘要的议案》《关于公司&lt;2024年限制性股票激励计划实施考核管理办法&gt;的议案》《关于提请股东大会授权董事会办理公司2024年限制性股票激励计划相关事宜的议案》。</w:t>
      </w:r>
    </w:p>
    <w:p w14:paraId="427AF377">
      <w:pPr>
        <w:pStyle w:val="3"/>
        <w:spacing w:line="560" w:lineRule="exact"/>
        <w:ind w:firstLine="472"/>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2024年2月7日，公司披露了《关于2024年限制性股票激励计划内幕消息知情人及激励对象买卖公司股票情况的自查公告》。</w:t>
      </w:r>
    </w:p>
    <w:p w14:paraId="5E8DB0BA">
      <w:pPr>
        <w:pStyle w:val="3"/>
        <w:spacing w:line="560" w:lineRule="exact"/>
        <w:ind w:firstLine="472"/>
        <w:jc w:val="both"/>
        <w:rPr>
          <w:rFonts w:hint="eastAsia" w:ascii="宋体" w:hAnsi="宋体" w:eastAsia="宋体" w:cs="宋体"/>
          <w:color w:val="auto"/>
          <w:spacing w:val="-12"/>
          <w:sz w:val="24"/>
          <w:szCs w:val="24"/>
          <w:lang w:eastAsia="zh-CN"/>
        </w:rPr>
      </w:pPr>
      <w:bookmarkStart w:id="1" w:name="OLE_LINK1"/>
      <w:r>
        <w:rPr>
          <w:rFonts w:hint="eastAsia" w:ascii="宋体" w:hAnsi="宋体" w:eastAsia="宋体" w:cs="宋体"/>
          <w:color w:val="auto"/>
          <w:spacing w:val="-12"/>
          <w:sz w:val="24"/>
          <w:szCs w:val="24"/>
          <w:lang w:eastAsia="zh-CN"/>
        </w:rPr>
        <w:t>2024年3月5日，公司召开了第四届董事会薪酬与考核委员会第二次会议、第四届董事会第三次会议、第四届监事会第三次会议审议通过了《关于调整公司2024年限制性股票激励计划激励对象名单及授予数量的议案》《关于向公司2024年限制性股票激励计划激励对象首次授予限制性股票的议案》。监事会对相关事项发表了意见，北京市嘉源律师事务所就相关事项出具了法律意见书</w:t>
      </w:r>
      <w:bookmarkEnd w:id="1"/>
      <w:r>
        <w:rPr>
          <w:rFonts w:hint="eastAsia" w:ascii="宋体" w:hAnsi="宋体" w:eastAsia="宋体" w:cs="宋体"/>
          <w:color w:val="auto"/>
          <w:spacing w:val="-12"/>
          <w:sz w:val="24"/>
          <w:szCs w:val="24"/>
          <w:lang w:eastAsia="zh-CN"/>
        </w:rPr>
        <w:t>。</w:t>
      </w:r>
    </w:p>
    <w:p w14:paraId="0141F980">
      <w:pPr>
        <w:tabs>
          <w:tab w:val="left" w:pos="3533"/>
        </w:tabs>
        <w:spacing w:line="520" w:lineRule="exact"/>
        <w:ind w:firstLine="432" w:firstLineChars="200"/>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2025年1月</w:t>
      </w:r>
      <w:r>
        <w:rPr>
          <w:rFonts w:hint="eastAsia" w:ascii="宋体" w:hAnsi="宋体" w:eastAsia="宋体" w:cs="宋体"/>
          <w:color w:val="auto"/>
          <w:spacing w:val="-12"/>
          <w:sz w:val="24"/>
          <w:szCs w:val="24"/>
          <w:lang w:val="en-US" w:eastAsia="zh-CN"/>
        </w:rPr>
        <w:t>20</w:t>
      </w:r>
      <w:r>
        <w:rPr>
          <w:rFonts w:hint="eastAsia" w:ascii="宋体" w:hAnsi="宋体" w:eastAsia="宋体" w:cs="宋体"/>
          <w:color w:val="auto"/>
          <w:spacing w:val="-12"/>
          <w:sz w:val="24"/>
          <w:szCs w:val="24"/>
          <w:lang w:eastAsia="zh-CN"/>
        </w:rPr>
        <w:t>日，公司分别召开了第四届董事会第十会议和第四届监事会第九次会议，审议通过了《关于向2024年限制性股票激励计划激励对象授予预留部分限制性股票的议案》，公司薪酬与考核委员会对授予预留部分限制性股票事项发表了同意意见，监事会对预留授予激励对象名单进行核实并发表了核查意见。</w:t>
      </w:r>
    </w:p>
    <w:p w14:paraId="0393EEA4">
      <w:pPr>
        <w:pStyle w:val="3"/>
        <w:spacing w:line="560" w:lineRule="exact"/>
        <w:ind w:firstLine="472"/>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（二） 董事会对本次授予是否满足条件的相关说明</w:t>
      </w:r>
    </w:p>
    <w:p w14:paraId="5C3CE2A6">
      <w:pPr>
        <w:spacing w:line="560" w:lineRule="exact"/>
        <w:ind w:firstLine="460" w:firstLineChars="1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根据公司《激励计划》中“</w:t>
      </w:r>
      <w:bookmarkStart w:id="2" w:name="OLE_LINK3"/>
      <w:r>
        <w:rPr>
          <w:rFonts w:hint="eastAsia" w:ascii="宋体" w:hAnsi="宋体" w:eastAsia="宋体" w:cs="宋体"/>
          <w:sz w:val="24"/>
          <w:szCs w:val="24"/>
          <w:lang w:eastAsia="zh-CN"/>
        </w:rPr>
        <w:t>限制性股票的授予、解除限售条件</w:t>
      </w:r>
      <w:bookmarkEnd w:id="2"/>
      <w:r>
        <w:rPr>
          <w:rFonts w:hint="eastAsia" w:ascii="宋体" w:hAnsi="宋体" w:eastAsia="宋体" w:cs="宋体"/>
          <w:sz w:val="24"/>
          <w:szCs w:val="24"/>
          <w:lang w:eastAsia="zh-CN"/>
        </w:rPr>
        <w:t>”，激励对象获授限制性股票的条件为：</w:t>
      </w:r>
    </w:p>
    <w:p w14:paraId="4C370607">
      <w:pPr>
        <w:spacing w:before="120" w:beforeLines="50" w:line="560" w:lineRule="exact"/>
        <w:ind w:firstLine="480" w:firstLineChars="200"/>
        <w:jc w:val="both"/>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“1、公司未发生如下任一情形：</w:t>
      </w:r>
    </w:p>
    <w:p w14:paraId="677A55A6">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（1）最近一个会计年度财务会计报告被注册会计师出具否定意见或者无法表示意见的审计报告；</w:t>
      </w:r>
    </w:p>
    <w:p w14:paraId="19828800">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（2）最近一个会计年度财务报告内部控制被注册会计师出具否定意见或者无法表示意见的审计报告；</w:t>
      </w:r>
    </w:p>
    <w:p w14:paraId="44555E81">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（3）上市后最近36个月内出现过未按法律法规、公司章程、公开承诺进行利润分配的情形；</w:t>
      </w:r>
    </w:p>
    <w:p w14:paraId="757154A2">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（4）法律法规规定不得实行股权激励的；</w:t>
      </w:r>
    </w:p>
    <w:p w14:paraId="6931297E">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（5）中国证监会认定的其他情形。</w:t>
      </w:r>
    </w:p>
    <w:p w14:paraId="7B29669D">
      <w:pPr>
        <w:spacing w:before="120" w:beforeLines="50" w:line="560" w:lineRule="exact"/>
        <w:ind w:firstLine="480" w:firstLineChars="200"/>
        <w:jc w:val="both"/>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2、激励对象未发生如下任一情形：</w:t>
      </w:r>
    </w:p>
    <w:p w14:paraId="680FA457">
      <w:pPr>
        <w:spacing w:before="120" w:beforeLines="50" w:line="560" w:lineRule="exact"/>
        <w:ind w:firstLine="480" w:firstLineChars="200"/>
        <w:jc w:val="both"/>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（1）最近12个月内被证券交易所认定为不适当人选；</w:t>
      </w:r>
    </w:p>
    <w:p w14:paraId="63CBB472">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（2）最近12个月内被中国证监会及其派出机构认定为不适当人选；</w:t>
      </w:r>
    </w:p>
    <w:p w14:paraId="22041F49">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（3）最近12个月内因重大违法违规行为被中国证监会及其派出机构行政处罚或者采取市场禁入措施；</w:t>
      </w:r>
    </w:p>
    <w:p w14:paraId="3375327E">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（4）具有《公司法》规定的不得担任公司董事、高级管理人员情形的；</w:t>
      </w:r>
    </w:p>
    <w:p w14:paraId="124D3DAB">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（5）法律法规规定不得参与上市公司股权激励的；</w:t>
      </w:r>
    </w:p>
    <w:p w14:paraId="43916AEB">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（6）中国证监会认定的其他情形。”</w:t>
      </w:r>
    </w:p>
    <w:p w14:paraId="1037CB63">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董事会经过认真核查，认为公司及激励对象均未发生或不属于上述任一情形，亦不存在不能授予或不得成为激励对象的其他情形。本次激励计划规定的预留授予条件已经成就，同意确定以</w:t>
      </w:r>
      <w:r>
        <w:rPr>
          <w:rFonts w:hint="eastAsia" w:ascii="宋体" w:hAnsi="宋体" w:eastAsia="宋体" w:cs="宋体"/>
          <w:sz w:val="24"/>
          <w:szCs w:val="24"/>
          <w:highlight w:val="none"/>
          <w:lang w:eastAsia="zh-CN"/>
        </w:rPr>
        <w:t>2025年1月2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日</w:t>
      </w:r>
      <w:r>
        <w:rPr>
          <w:rFonts w:hint="eastAsia" w:ascii="宋体" w:hAnsi="宋体" w:eastAsia="宋体" w:cs="宋体"/>
          <w:sz w:val="24"/>
          <w:szCs w:val="24"/>
          <w:lang w:eastAsia="zh-CN"/>
        </w:rPr>
        <w:t>为预留授予日，向符合授予条件的</w:t>
      </w:r>
      <w:r>
        <w:rPr>
          <w:rFonts w:hint="eastAsia" w:ascii="宋体" w:hAnsi="宋体" w:eastAsia="宋体" w:cs="宋体"/>
          <w:sz w:val="24"/>
          <w:szCs w:val="24"/>
          <w:highlight w:val="none"/>
          <w:lang w:eastAsia="zh-CN"/>
        </w:rPr>
        <w:t>32</w:t>
      </w:r>
      <w:r>
        <w:rPr>
          <w:rFonts w:hint="eastAsia" w:ascii="宋体" w:hAnsi="宋体" w:eastAsia="宋体" w:cs="宋体"/>
          <w:sz w:val="24"/>
          <w:szCs w:val="24"/>
          <w:lang w:eastAsia="zh-CN"/>
        </w:rPr>
        <w:t>名激励对象预留授予限制性股票</w:t>
      </w:r>
      <w:r>
        <w:rPr>
          <w:rFonts w:hint="eastAsia" w:ascii="宋体" w:hAnsi="宋体" w:eastAsia="宋体" w:cs="宋体"/>
          <w:sz w:val="24"/>
          <w:szCs w:val="24"/>
          <w:highlight w:val="none"/>
          <w:lang w:eastAsia="zh-CN"/>
        </w:rPr>
        <w:t>6</w:t>
      </w:r>
      <w:r>
        <w:rPr>
          <w:rFonts w:ascii="宋体" w:hAnsi="宋体" w:eastAsia="宋体" w:cs="宋体"/>
          <w:sz w:val="24"/>
          <w:szCs w:val="24"/>
          <w:highlight w:val="none"/>
          <w:lang w:eastAsia="zh-CN"/>
        </w:rPr>
        <w:t>0</w:t>
      </w:r>
      <w:r>
        <w:rPr>
          <w:rFonts w:hint="eastAsia" w:ascii="宋体" w:hAnsi="宋体" w:eastAsia="宋体" w:cs="宋体"/>
          <w:sz w:val="24"/>
          <w:szCs w:val="24"/>
          <w:lang w:eastAsia="zh-CN"/>
        </w:rPr>
        <w:t>万股，授予价格为</w:t>
      </w:r>
      <w:r>
        <w:rPr>
          <w:rFonts w:hint="eastAsia" w:ascii="宋体" w:hAnsi="宋体" w:eastAsia="宋体" w:cs="宋体"/>
          <w:sz w:val="24"/>
          <w:szCs w:val="24"/>
          <w:lang w:val="en-US" w:eastAsia="zh-CN"/>
        </w:rPr>
        <w:t>7.94</w:t>
      </w:r>
      <w:r>
        <w:rPr>
          <w:rFonts w:hint="eastAsia" w:ascii="宋体" w:hAnsi="宋体" w:eastAsia="宋体" w:cs="宋体"/>
          <w:sz w:val="24"/>
          <w:szCs w:val="24"/>
          <w:lang w:eastAsia="zh-CN"/>
        </w:rPr>
        <w:t>元/股。</w:t>
      </w:r>
    </w:p>
    <w:p w14:paraId="3F455B36">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 本次激励计划预留授予的具体情况</w:t>
      </w:r>
    </w:p>
    <w:p w14:paraId="0733809F">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1、预留授予日：</w:t>
      </w:r>
      <w:r>
        <w:rPr>
          <w:rFonts w:hint="eastAsia" w:ascii="宋体" w:hAnsi="宋体" w:eastAsia="宋体" w:cs="宋体"/>
          <w:sz w:val="24"/>
          <w:szCs w:val="24"/>
          <w:highlight w:val="none"/>
          <w:lang w:eastAsia="zh-CN"/>
        </w:rPr>
        <w:t>2025年1月2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日</w:t>
      </w:r>
      <w:r>
        <w:rPr>
          <w:rFonts w:hint="eastAsia" w:ascii="宋体" w:hAnsi="宋体" w:eastAsia="宋体" w:cs="宋体"/>
          <w:sz w:val="24"/>
          <w:szCs w:val="24"/>
          <w:lang w:eastAsia="zh-CN"/>
        </w:rPr>
        <w:t>。</w:t>
      </w:r>
    </w:p>
    <w:p w14:paraId="66498B6D">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2、预留授予限制性股票数量：</w:t>
      </w:r>
      <w:r>
        <w:rPr>
          <w:rFonts w:hint="eastAsia" w:ascii="宋体" w:hAnsi="宋体" w:eastAsia="宋体" w:cs="宋体"/>
          <w:sz w:val="24"/>
          <w:szCs w:val="24"/>
          <w:highlight w:val="none"/>
          <w:lang w:eastAsia="zh-CN"/>
        </w:rPr>
        <w:t>6</w:t>
      </w:r>
      <w:r>
        <w:rPr>
          <w:rFonts w:ascii="宋体" w:hAnsi="宋体" w:eastAsia="宋体" w:cs="宋体"/>
          <w:sz w:val="24"/>
          <w:szCs w:val="24"/>
          <w:highlight w:val="none"/>
          <w:lang w:eastAsia="zh-CN"/>
        </w:rPr>
        <w:t>0</w:t>
      </w:r>
      <w:r>
        <w:rPr>
          <w:rFonts w:hint="eastAsia" w:ascii="宋体" w:hAnsi="宋体" w:eastAsia="宋体" w:cs="宋体"/>
          <w:sz w:val="24"/>
          <w:szCs w:val="24"/>
          <w:lang w:eastAsia="zh-CN"/>
        </w:rPr>
        <w:t>万股</w:t>
      </w:r>
    </w:p>
    <w:p w14:paraId="58A97D9C">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3、预留授予人数：</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lang w:eastAsia="zh-CN"/>
        </w:rPr>
        <w:t>人</w:t>
      </w:r>
    </w:p>
    <w:p w14:paraId="5E08CE0C">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4、预留授予价格：</w:t>
      </w:r>
      <w:r>
        <w:rPr>
          <w:rFonts w:hint="eastAsia" w:ascii="宋体" w:hAnsi="宋体" w:eastAsia="宋体" w:cs="宋体"/>
          <w:sz w:val="24"/>
          <w:szCs w:val="24"/>
          <w:lang w:val="en-US" w:eastAsia="zh-CN"/>
        </w:rPr>
        <w:t>7.94</w:t>
      </w:r>
      <w:r>
        <w:rPr>
          <w:rFonts w:hint="eastAsia" w:ascii="宋体" w:hAnsi="宋体" w:eastAsia="宋体" w:cs="宋体"/>
          <w:sz w:val="24"/>
          <w:szCs w:val="24"/>
          <w:lang w:eastAsia="zh-CN"/>
        </w:rPr>
        <w:t>元/股</w:t>
      </w:r>
    </w:p>
    <w:p w14:paraId="4F7B17A2">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5、股票来源：公司以集中竞价方式回购的本公司人民币A股普通股股票。</w:t>
      </w:r>
    </w:p>
    <w:p w14:paraId="2B831F38">
      <w:pPr>
        <w:spacing w:line="560" w:lineRule="exact"/>
        <w:ind w:firstLine="460" w:firstLineChars="1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6、激励计划的有效期、限售期及解除限售安排情况：</w:t>
      </w:r>
    </w:p>
    <w:p w14:paraId="25F7B5C3">
      <w:pPr>
        <w:spacing w:line="560" w:lineRule="exact"/>
        <w:ind w:firstLine="460" w:firstLineChars="1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（1）有效期</w:t>
      </w:r>
    </w:p>
    <w:p w14:paraId="67904B4E">
      <w:pPr>
        <w:spacing w:line="560" w:lineRule="exact"/>
        <w:ind w:firstLine="460" w:firstLineChars="1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w:t>
      </w:r>
      <w:r>
        <w:rPr>
          <w:rFonts w:hint="eastAsia" w:ascii="宋体" w:hAnsi="宋体" w:eastAsia="宋体" w:cs="宋体"/>
          <w:color w:val="auto"/>
          <w:spacing w:val="-12"/>
          <w:sz w:val="24"/>
          <w:szCs w:val="24"/>
          <w:lang w:eastAsia="zh-CN"/>
        </w:rPr>
        <w:t>次</w:t>
      </w:r>
      <w:r>
        <w:rPr>
          <w:rFonts w:hint="eastAsia" w:ascii="宋体" w:hAnsi="宋体" w:eastAsia="宋体" w:cs="宋体"/>
          <w:sz w:val="24"/>
          <w:szCs w:val="24"/>
          <w:lang w:eastAsia="zh-CN"/>
        </w:rPr>
        <w:t>激励计划有效期自限制性股票首次授予之日起至激励对象获授的限制性股票全部解除限售或回购注销之日止，最长不超过48个月。</w:t>
      </w:r>
    </w:p>
    <w:p w14:paraId="327BEE25">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2</w:t>
      </w:r>
      <w:r>
        <w:rPr>
          <w:rFonts w:hint="eastAsia" w:ascii="宋体" w:hAnsi="宋体" w:eastAsia="宋体" w:cs="宋体"/>
          <w:sz w:val="24"/>
          <w:szCs w:val="24"/>
        </w:rPr>
        <w:t>）限售期及解除限售安排</w:t>
      </w:r>
    </w:p>
    <w:p w14:paraId="48535FAC">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自激励对象获授限制性股票授予之日起12个月内为限售期。在限售期内，激励对象根据本计划获授的限制性股票予以限售，不得转让、不得用于担保或偿还债务。激励对象因获授的尚未解除限售的限制性股票而取得的资本公积转增股本、派发股票红利、股票拆细等股份同时按本计划进行锁定。解除限售后，公司为满足解除限售条件的激励对象办理解除限售事宜，未满足解除限售条件的激励对象持有的限制性股票由公司回购。</w:t>
      </w:r>
    </w:p>
    <w:p w14:paraId="3AE9D0C8">
      <w:pPr>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本计划预留部分限制性股票解除限售期及解除限售权益数量占授予权益总量的比例如下表所示：</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677"/>
        <w:gridCol w:w="2181"/>
      </w:tblGrid>
      <w:tr w14:paraId="6FD58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14:paraId="2AA1061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解除限售安排</w:t>
            </w:r>
          </w:p>
        </w:tc>
        <w:tc>
          <w:tcPr>
            <w:tcW w:w="4677" w:type="dxa"/>
            <w:shd w:val="clear" w:color="auto" w:fill="BFBFBF"/>
            <w:vAlign w:val="center"/>
          </w:tcPr>
          <w:p w14:paraId="20AB7D3E">
            <w:pPr>
              <w:spacing w:line="360" w:lineRule="auto"/>
              <w:ind w:firstLine="422"/>
              <w:jc w:val="center"/>
              <w:rPr>
                <w:rFonts w:hint="eastAsia" w:ascii="宋体" w:hAnsi="宋体" w:eastAsia="宋体" w:cs="宋体"/>
                <w:sz w:val="18"/>
                <w:szCs w:val="18"/>
              </w:rPr>
            </w:pPr>
            <w:r>
              <w:rPr>
                <w:rFonts w:hint="eastAsia" w:ascii="宋体" w:hAnsi="宋体" w:eastAsia="宋体" w:cs="宋体"/>
                <w:sz w:val="18"/>
                <w:szCs w:val="18"/>
              </w:rPr>
              <w:t>解除限售时间</w:t>
            </w:r>
          </w:p>
        </w:tc>
        <w:tc>
          <w:tcPr>
            <w:tcW w:w="2181" w:type="dxa"/>
            <w:shd w:val="clear" w:color="auto" w:fill="BFBFBF"/>
            <w:vAlign w:val="center"/>
          </w:tcPr>
          <w:p w14:paraId="251D6F00">
            <w:pPr>
              <w:spacing w:line="36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解除限售权益数量占授予权益总量的比例</w:t>
            </w:r>
          </w:p>
        </w:tc>
      </w:tr>
      <w:tr w14:paraId="71536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17A44EFC">
            <w:pPr>
              <w:spacing w:line="360" w:lineRule="auto"/>
              <w:rPr>
                <w:rFonts w:hint="eastAsia" w:ascii="宋体" w:hAnsi="宋体" w:eastAsia="宋体" w:cs="宋体"/>
                <w:sz w:val="18"/>
                <w:szCs w:val="18"/>
              </w:rPr>
            </w:pPr>
            <w:r>
              <w:rPr>
                <w:rFonts w:hint="eastAsia" w:ascii="宋体" w:hAnsi="宋体" w:eastAsia="宋体" w:cs="宋体"/>
                <w:sz w:val="18"/>
                <w:szCs w:val="18"/>
              </w:rPr>
              <w:t>第一个解除限售期</w:t>
            </w:r>
          </w:p>
        </w:tc>
        <w:tc>
          <w:tcPr>
            <w:tcW w:w="4677" w:type="dxa"/>
            <w:vAlign w:val="center"/>
          </w:tcPr>
          <w:p w14:paraId="16E4E0A3">
            <w:pPr>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自预留授予之日起12个月后的首个交易日至预留授予之日起24个月内的最后一个交易日止</w:t>
            </w:r>
          </w:p>
        </w:tc>
        <w:tc>
          <w:tcPr>
            <w:tcW w:w="2181" w:type="dxa"/>
            <w:vAlign w:val="center"/>
          </w:tcPr>
          <w:p w14:paraId="6FEA97C4">
            <w:pPr>
              <w:spacing w:line="360" w:lineRule="auto"/>
              <w:ind w:firstLine="420"/>
              <w:rPr>
                <w:rFonts w:hint="eastAsia" w:ascii="宋体" w:hAnsi="宋体" w:eastAsia="宋体" w:cs="宋体"/>
                <w:sz w:val="18"/>
                <w:szCs w:val="18"/>
              </w:rPr>
            </w:pPr>
            <w:r>
              <w:rPr>
                <w:rFonts w:hint="eastAsia" w:ascii="宋体" w:hAnsi="宋体" w:eastAsia="宋体" w:cs="宋体"/>
                <w:sz w:val="18"/>
                <w:szCs w:val="18"/>
              </w:rPr>
              <w:t>50%</w:t>
            </w:r>
          </w:p>
        </w:tc>
      </w:tr>
      <w:tr w14:paraId="0F79D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071B7C0A">
            <w:pPr>
              <w:spacing w:line="360" w:lineRule="auto"/>
              <w:rPr>
                <w:rFonts w:hint="eastAsia" w:ascii="宋体" w:hAnsi="宋体" w:eastAsia="宋体" w:cs="宋体"/>
                <w:sz w:val="18"/>
                <w:szCs w:val="18"/>
              </w:rPr>
            </w:pPr>
            <w:r>
              <w:rPr>
                <w:rFonts w:hint="eastAsia" w:ascii="宋体" w:hAnsi="宋体" w:eastAsia="宋体" w:cs="宋体"/>
                <w:sz w:val="18"/>
                <w:szCs w:val="18"/>
              </w:rPr>
              <w:t>第二个解除限售期</w:t>
            </w:r>
          </w:p>
        </w:tc>
        <w:tc>
          <w:tcPr>
            <w:tcW w:w="4677" w:type="dxa"/>
            <w:vAlign w:val="center"/>
          </w:tcPr>
          <w:p w14:paraId="5EF6AAA8">
            <w:pPr>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自预留授予之日起24个月后的首个交易日至预留授予之日起36个月内的最后一个交易日止</w:t>
            </w:r>
          </w:p>
        </w:tc>
        <w:tc>
          <w:tcPr>
            <w:tcW w:w="2181" w:type="dxa"/>
            <w:vAlign w:val="center"/>
          </w:tcPr>
          <w:p w14:paraId="1845CCA2">
            <w:pPr>
              <w:spacing w:line="360" w:lineRule="auto"/>
              <w:ind w:firstLine="420"/>
              <w:rPr>
                <w:rFonts w:hint="eastAsia" w:ascii="宋体" w:hAnsi="宋体" w:eastAsia="宋体" w:cs="宋体"/>
                <w:sz w:val="18"/>
                <w:szCs w:val="18"/>
              </w:rPr>
            </w:pPr>
            <w:r>
              <w:rPr>
                <w:rFonts w:hint="eastAsia" w:ascii="宋体" w:hAnsi="宋体" w:eastAsia="宋体" w:cs="宋体"/>
                <w:sz w:val="18"/>
                <w:szCs w:val="18"/>
              </w:rPr>
              <w:t>50%</w:t>
            </w:r>
          </w:p>
        </w:tc>
      </w:tr>
    </w:tbl>
    <w:p w14:paraId="322EF7A3">
      <w:pPr>
        <w:numPr>
          <w:ilvl w:val="0"/>
          <w:numId w:val="2"/>
        </w:numPr>
        <w:spacing w:before="120" w:beforeLines="50" w:line="560" w:lineRule="exact"/>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本次激励计划授予的预留部分限制性股票在各激励对象间的分配情况如下：</w:t>
      </w:r>
    </w:p>
    <w:p w14:paraId="2C8FED5B">
      <w:pPr>
        <w:spacing w:line="40" w:lineRule="auto"/>
        <w:rPr>
          <w:sz w:val="2"/>
          <w:lang w:eastAsia="zh-CN"/>
        </w:rPr>
      </w:pPr>
    </w:p>
    <w:tbl>
      <w:tblPr>
        <w:tblStyle w:val="7"/>
        <w:tblW w:w="50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311"/>
        <w:gridCol w:w="874"/>
        <w:gridCol w:w="1919"/>
        <w:gridCol w:w="1525"/>
        <w:gridCol w:w="1629"/>
        <w:gridCol w:w="1763"/>
      </w:tblGrid>
      <w:tr w14:paraId="68E67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6" w:type="pct"/>
            <w:shd w:val="clear" w:color="auto" w:fill="BFBFBF"/>
            <w:tcMar>
              <w:top w:w="0" w:type="dxa"/>
              <w:left w:w="0" w:type="dxa"/>
              <w:bottom w:w="0" w:type="dxa"/>
              <w:right w:w="0" w:type="dxa"/>
            </w:tcMar>
            <w:vAlign w:val="center"/>
          </w:tcPr>
          <w:p w14:paraId="51344BFE">
            <w:pPr>
              <w:widowControl w:val="0"/>
              <w:jc w:val="center"/>
              <w:rPr>
                <w:rFonts w:ascii="Times New Roman" w:hAnsi="Times New Roman" w:eastAsia="宋体" w:cs="Times New Roman"/>
                <w:b/>
                <w:kern w:val="2"/>
              </w:rPr>
            </w:pPr>
            <w:r>
              <w:rPr>
                <w:rFonts w:ascii="Times New Roman" w:hAnsi="Times New Roman" w:eastAsia="宋体" w:cs="Times New Roman"/>
                <w:b/>
                <w:kern w:val="2"/>
              </w:rPr>
              <w:t>姓名</w:t>
            </w:r>
          </w:p>
        </w:tc>
        <w:tc>
          <w:tcPr>
            <w:tcW w:w="484" w:type="pct"/>
            <w:shd w:val="clear" w:color="auto" w:fill="BFBFBF"/>
            <w:tcMar>
              <w:top w:w="0" w:type="dxa"/>
              <w:left w:w="0" w:type="dxa"/>
              <w:bottom w:w="0" w:type="dxa"/>
              <w:right w:w="0" w:type="dxa"/>
            </w:tcMar>
            <w:vAlign w:val="center"/>
          </w:tcPr>
          <w:p w14:paraId="15DE93CE">
            <w:pPr>
              <w:widowControl w:val="0"/>
              <w:jc w:val="center"/>
              <w:rPr>
                <w:rFonts w:ascii="Times New Roman" w:hAnsi="Times New Roman" w:eastAsia="宋体" w:cs="Times New Roman"/>
                <w:b/>
                <w:kern w:val="2"/>
              </w:rPr>
            </w:pPr>
            <w:r>
              <w:rPr>
                <w:rFonts w:ascii="Times New Roman" w:hAnsi="Times New Roman" w:eastAsia="宋体" w:cs="Times New Roman"/>
                <w:b/>
                <w:kern w:val="2"/>
              </w:rPr>
              <w:t>国籍</w:t>
            </w:r>
          </w:p>
        </w:tc>
        <w:tc>
          <w:tcPr>
            <w:tcW w:w="1063" w:type="pct"/>
            <w:shd w:val="clear" w:color="auto" w:fill="BFBFBF"/>
            <w:tcMar>
              <w:top w:w="0" w:type="dxa"/>
              <w:left w:w="0" w:type="dxa"/>
              <w:bottom w:w="0" w:type="dxa"/>
              <w:right w:w="0" w:type="dxa"/>
            </w:tcMar>
            <w:vAlign w:val="center"/>
          </w:tcPr>
          <w:p w14:paraId="6E94CA7E">
            <w:pPr>
              <w:widowControl w:val="0"/>
              <w:jc w:val="center"/>
              <w:rPr>
                <w:rFonts w:ascii="Times New Roman" w:hAnsi="Times New Roman" w:eastAsia="宋体" w:cs="Times New Roman"/>
                <w:b/>
                <w:kern w:val="2"/>
              </w:rPr>
            </w:pPr>
            <w:r>
              <w:rPr>
                <w:rFonts w:ascii="Times New Roman" w:hAnsi="Times New Roman" w:eastAsia="宋体" w:cs="Times New Roman"/>
                <w:b/>
                <w:kern w:val="2"/>
              </w:rPr>
              <w:t>职务</w:t>
            </w:r>
          </w:p>
        </w:tc>
        <w:tc>
          <w:tcPr>
            <w:tcW w:w="845" w:type="pct"/>
            <w:shd w:val="clear" w:color="auto" w:fill="BFBFBF"/>
            <w:tcMar>
              <w:top w:w="0" w:type="dxa"/>
              <w:left w:w="0" w:type="dxa"/>
              <w:bottom w:w="0" w:type="dxa"/>
              <w:right w:w="0" w:type="dxa"/>
            </w:tcMar>
            <w:vAlign w:val="center"/>
          </w:tcPr>
          <w:p w14:paraId="718B04F5">
            <w:pPr>
              <w:widowControl w:val="0"/>
              <w:jc w:val="center"/>
              <w:rPr>
                <w:rFonts w:ascii="Times New Roman" w:hAnsi="Times New Roman" w:eastAsia="宋体" w:cs="Times New Roman"/>
                <w:b/>
                <w:kern w:val="2"/>
                <w:lang w:eastAsia="zh-CN"/>
              </w:rPr>
            </w:pPr>
            <w:r>
              <w:rPr>
                <w:rFonts w:ascii="Times New Roman" w:hAnsi="Times New Roman" w:eastAsia="宋体" w:cs="Times New Roman"/>
                <w:b/>
                <w:kern w:val="2"/>
                <w:lang w:eastAsia="zh-CN"/>
              </w:rPr>
              <w:t>获授的限制性股票数量（万股）</w:t>
            </w:r>
          </w:p>
        </w:tc>
        <w:tc>
          <w:tcPr>
            <w:tcW w:w="903" w:type="pct"/>
            <w:shd w:val="clear" w:color="auto" w:fill="BFBFBF"/>
            <w:tcMar>
              <w:top w:w="0" w:type="dxa"/>
              <w:left w:w="0" w:type="dxa"/>
              <w:bottom w:w="0" w:type="dxa"/>
              <w:right w:w="0" w:type="dxa"/>
            </w:tcMar>
            <w:vAlign w:val="center"/>
          </w:tcPr>
          <w:p w14:paraId="450C064C">
            <w:pPr>
              <w:widowControl w:val="0"/>
              <w:jc w:val="center"/>
              <w:rPr>
                <w:rFonts w:ascii="Times New Roman" w:hAnsi="Times New Roman" w:eastAsia="宋体" w:cs="Times New Roman"/>
                <w:b/>
                <w:kern w:val="2"/>
                <w:lang w:eastAsia="zh-CN"/>
              </w:rPr>
            </w:pPr>
            <w:r>
              <w:rPr>
                <w:rFonts w:ascii="Times New Roman" w:hAnsi="Times New Roman" w:eastAsia="宋体" w:cs="Times New Roman"/>
                <w:b/>
                <w:kern w:val="2"/>
                <w:lang w:eastAsia="zh-CN"/>
              </w:rPr>
              <w:t>占授予限制性股票总数的比例</w:t>
            </w:r>
          </w:p>
        </w:tc>
        <w:tc>
          <w:tcPr>
            <w:tcW w:w="976" w:type="pct"/>
            <w:shd w:val="clear" w:color="auto" w:fill="BFBFBF"/>
            <w:tcMar>
              <w:top w:w="0" w:type="dxa"/>
              <w:left w:w="0" w:type="dxa"/>
              <w:bottom w:w="0" w:type="dxa"/>
              <w:right w:w="0" w:type="dxa"/>
            </w:tcMar>
            <w:vAlign w:val="center"/>
          </w:tcPr>
          <w:p w14:paraId="114A2CED">
            <w:pPr>
              <w:widowControl w:val="0"/>
              <w:jc w:val="center"/>
              <w:rPr>
                <w:rFonts w:ascii="Times New Roman" w:hAnsi="Times New Roman" w:eastAsia="宋体" w:cs="Times New Roman"/>
                <w:b/>
                <w:kern w:val="2"/>
                <w:lang w:eastAsia="zh-CN"/>
              </w:rPr>
            </w:pPr>
            <w:r>
              <w:rPr>
                <w:rFonts w:ascii="Times New Roman" w:hAnsi="Times New Roman" w:eastAsia="宋体" w:cs="Times New Roman"/>
                <w:b/>
                <w:kern w:val="2"/>
                <w:lang w:eastAsia="zh-CN"/>
              </w:rPr>
              <w:t>占本激励计划公告时股本总额的比例</w:t>
            </w:r>
          </w:p>
        </w:tc>
      </w:tr>
      <w:tr w14:paraId="679F1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74" w:type="pct"/>
            <w:gridSpan w:val="3"/>
            <w:shd w:val="clear" w:color="auto" w:fill="FFFFFF"/>
            <w:tcMar>
              <w:top w:w="0" w:type="dxa"/>
              <w:left w:w="0" w:type="dxa"/>
              <w:bottom w:w="0" w:type="dxa"/>
              <w:right w:w="0" w:type="dxa"/>
            </w:tcMar>
            <w:vAlign w:val="center"/>
          </w:tcPr>
          <w:p w14:paraId="0A3C85C6">
            <w:pPr>
              <w:widowControl w:val="0"/>
              <w:rPr>
                <w:rFonts w:ascii="Times New Roman" w:hAnsi="Times New Roman" w:eastAsia="宋体" w:cs="Times New Roman"/>
                <w:b/>
                <w:kern w:val="2"/>
                <w:lang w:eastAsia="zh-CN"/>
              </w:rPr>
            </w:pPr>
            <w:r>
              <w:rPr>
                <w:rFonts w:ascii="Times New Roman" w:hAnsi="Times New Roman" w:eastAsia="宋体" w:cs="Times New Roman"/>
                <w:b/>
                <w:kern w:val="2"/>
                <w:lang w:eastAsia="zh-CN"/>
              </w:rPr>
              <w:t>董事会认为需要激励的其他人员</w:t>
            </w:r>
          </w:p>
          <w:p w14:paraId="5F57AF8F">
            <w:pPr>
              <w:widowControl w:val="0"/>
              <w:rPr>
                <w:rFonts w:ascii="Times New Roman" w:hAnsi="Times New Roman" w:eastAsia="宋体" w:cs="Times New Roman"/>
                <w:b/>
                <w:kern w:val="2"/>
                <w:lang w:eastAsia="zh-CN"/>
              </w:rPr>
            </w:pPr>
            <w:r>
              <w:rPr>
                <w:rFonts w:ascii="Times New Roman" w:hAnsi="Times New Roman" w:eastAsia="宋体" w:cs="Times New Roman"/>
                <w:b/>
                <w:kern w:val="2"/>
                <w:lang w:eastAsia="zh-CN"/>
              </w:rPr>
              <w:t>（</w:t>
            </w:r>
            <w:r>
              <w:rPr>
                <w:rFonts w:hint="eastAsia" w:ascii="Times New Roman" w:hAnsi="Times New Roman" w:eastAsia="宋体" w:cs="Times New Roman"/>
                <w:b/>
                <w:kern w:val="2"/>
                <w:lang w:eastAsia="zh-CN"/>
              </w:rPr>
              <w:t>不超过</w:t>
            </w:r>
            <w:r>
              <w:rPr>
                <w:rFonts w:ascii="Times New Roman" w:hAnsi="Times New Roman" w:eastAsia="宋体" w:cs="Times New Roman"/>
                <w:b/>
                <w:kern w:val="2"/>
                <w:lang w:eastAsia="zh-CN"/>
              </w:rPr>
              <w:t>3</w:t>
            </w:r>
            <w:r>
              <w:rPr>
                <w:rFonts w:hint="eastAsia" w:ascii="Times New Roman" w:hAnsi="Times New Roman" w:eastAsia="宋体" w:cs="Times New Roman"/>
                <w:b/>
                <w:kern w:val="2"/>
                <w:lang w:val="en-US" w:eastAsia="zh-CN"/>
              </w:rPr>
              <w:t>2</w:t>
            </w:r>
            <w:r>
              <w:rPr>
                <w:rFonts w:ascii="Times New Roman" w:hAnsi="Times New Roman" w:eastAsia="宋体" w:cs="Times New Roman"/>
                <w:b/>
                <w:kern w:val="2"/>
                <w:lang w:eastAsia="zh-CN"/>
              </w:rPr>
              <w:t>人）</w:t>
            </w:r>
          </w:p>
        </w:tc>
        <w:tc>
          <w:tcPr>
            <w:tcW w:w="845" w:type="pct"/>
            <w:shd w:val="clear" w:color="auto" w:fill="FFFFFF"/>
            <w:tcMar>
              <w:top w:w="0" w:type="dxa"/>
              <w:left w:w="0" w:type="dxa"/>
              <w:bottom w:w="0" w:type="dxa"/>
              <w:right w:w="0" w:type="dxa"/>
            </w:tcMar>
            <w:vAlign w:val="center"/>
          </w:tcPr>
          <w:p w14:paraId="408403C6">
            <w:pPr>
              <w:widowControl w:val="0"/>
              <w:jc w:val="right"/>
              <w:rPr>
                <w:rFonts w:ascii="Times New Roman" w:hAnsi="Times New Roman" w:cs="Times New Roman"/>
                <w:b/>
              </w:rPr>
            </w:pPr>
            <w:r>
              <w:rPr>
                <w:rFonts w:ascii="Times New Roman" w:hAnsi="Times New Roman" w:cs="Times New Roman"/>
                <w:b/>
              </w:rPr>
              <w:t>60.00</w:t>
            </w:r>
          </w:p>
        </w:tc>
        <w:tc>
          <w:tcPr>
            <w:tcW w:w="903" w:type="pct"/>
            <w:shd w:val="clear" w:color="auto" w:fill="FFFFFF"/>
            <w:tcMar>
              <w:top w:w="0" w:type="dxa"/>
              <w:left w:w="0" w:type="dxa"/>
              <w:bottom w:w="0" w:type="dxa"/>
              <w:right w:w="0" w:type="dxa"/>
            </w:tcMar>
            <w:vAlign w:val="center"/>
          </w:tcPr>
          <w:p w14:paraId="34E7D4C9">
            <w:pPr>
              <w:widowControl w:val="0"/>
              <w:jc w:val="right"/>
              <w:rPr>
                <w:rFonts w:ascii="Times New Roman" w:hAnsi="Times New Roman" w:cs="Times New Roman"/>
                <w:b/>
                <w:bCs/>
              </w:rPr>
            </w:pPr>
            <w:r>
              <w:rPr>
                <w:rFonts w:ascii="Times New Roman" w:hAnsi="Times New Roman" w:eastAsia="等线" w:cs="Times New Roman"/>
                <w:b/>
                <w:bCs/>
              </w:rPr>
              <w:t>18.75%</w:t>
            </w:r>
          </w:p>
        </w:tc>
        <w:tc>
          <w:tcPr>
            <w:tcW w:w="976" w:type="pct"/>
            <w:shd w:val="clear" w:color="auto" w:fill="FFFFFF"/>
            <w:tcMar>
              <w:top w:w="0" w:type="dxa"/>
              <w:left w:w="0" w:type="dxa"/>
              <w:bottom w:w="0" w:type="dxa"/>
              <w:right w:w="0" w:type="dxa"/>
            </w:tcMar>
            <w:vAlign w:val="center"/>
          </w:tcPr>
          <w:p w14:paraId="467EE468">
            <w:pPr>
              <w:widowControl w:val="0"/>
              <w:jc w:val="right"/>
              <w:rPr>
                <w:rFonts w:ascii="Times New Roman" w:hAnsi="Times New Roman" w:cs="Times New Roman"/>
                <w:b/>
                <w:bCs/>
              </w:rPr>
            </w:pPr>
            <w:r>
              <w:rPr>
                <w:rFonts w:ascii="Times New Roman" w:hAnsi="Times New Roman" w:eastAsia="等线" w:cs="Times New Roman"/>
                <w:b/>
                <w:bCs/>
              </w:rPr>
              <w:t>0.18%</w:t>
            </w:r>
          </w:p>
        </w:tc>
      </w:tr>
      <w:tr w14:paraId="2C682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74" w:type="pct"/>
            <w:gridSpan w:val="3"/>
            <w:shd w:val="clear" w:color="auto" w:fill="FFFFFF"/>
            <w:tcMar>
              <w:top w:w="0" w:type="dxa"/>
              <w:left w:w="0" w:type="dxa"/>
              <w:bottom w:w="0" w:type="dxa"/>
              <w:right w:w="0" w:type="dxa"/>
            </w:tcMar>
            <w:vAlign w:val="center"/>
          </w:tcPr>
          <w:p w14:paraId="2B843BBC">
            <w:pPr>
              <w:widowControl w:val="0"/>
              <w:jc w:val="center"/>
              <w:rPr>
                <w:rFonts w:ascii="Times New Roman" w:hAnsi="Times New Roman" w:eastAsia="宋体" w:cs="Times New Roman"/>
                <w:b/>
                <w:kern w:val="2"/>
              </w:rPr>
            </w:pPr>
            <w:r>
              <w:rPr>
                <w:rFonts w:ascii="Times New Roman" w:hAnsi="Times New Roman" w:eastAsia="宋体" w:cs="Times New Roman"/>
                <w:b/>
                <w:kern w:val="2"/>
              </w:rPr>
              <w:t>合计</w:t>
            </w:r>
          </w:p>
        </w:tc>
        <w:tc>
          <w:tcPr>
            <w:tcW w:w="845" w:type="pct"/>
            <w:shd w:val="clear" w:color="auto" w:fill="FFFFFF"/>
            <w:tcMar>
              <w:top w:w="0" w:type="dxa"/>
              <w:left w:w="0" w:type="dxa"/>
              <w:bottom w:w="0" w:type="dxa"/>
              <w:right w:w="0" w:type="dxa"/>
            </w:tcMar>
            <w:vAlign w:val="center"/>
          </w:tcPr>
          <w:p w14:paraId="5B861424">
            <w:pPr>
              <w:widowControl w:val="0"/>
              <w:jc w:val="right"/>
              <w:rPr>
                <w:rFonts w:ascii="Times New Roman" w:hAnsi="Times New Roman" w:eastAsia="宋体" w:cs="Times New Roman"/>
                <w:b/>
                <w:kern w:val="2"/>
              </w:rPr>
            </w:pPr>
            <w:r>
              <w:rPr>
                <w:rFonts w:ascii="Times New Roman" w:hAnsi="Times New Roman" w:cs="Times New Roman"/>
                <w:b/>
              </w:rPr>
              <w:t>60.00</w:t>
            </w:r>
          </w:p>
        </w:tc>
        <w:tc>
          <w:tcPr>
            <w:tcW w:w="903" w:type="pct"/>
            <w:shd w:val="clear" w:color="auto" w:fill="FFFFFF"/>
            <w:tcMar>
              <w:top w:w="0" w:type="dxa"/>
              <w:left w:w="0" w:type="dxa"/>
              <w:bottom w:w="0" w:type="dxa"/>
              <w:right w:w="0" w:type="dxa"/>
            </w:tcMar>
            <w:vAlign w:val="center"/>
          </w:tcPr>
          <w:p w14:paraId="7B70B577">
            <w:pPr>
              <w:widowControl w:val="0"/>
              <w:jc w:val="right"/>
              <w:rPr>
                <w:rFonts w:ascii="Times New Roman" w:hAnsi="Times New Roman" w:eastAsia="宋体" w:cs="Times New Roman"/>
                <w:b/>
                <w:kern w:val="2"/>
              </w:rPr>
            </w:pPr>
            <w:r>
              <w:rPr>
                <w:rFonts w:ascii="Times New Roman" w:hAnsi="Times New Roman" w:eastAsia="等线" w:cs="Times New Roman"/>
                <w:b/>
                <w:bCs/>
              </w:rPr>
              <w:t>18.75%</w:t>
            </w:r>
          </w:p>
        </w:tc>
        <w:tc>
          <w:tcPr>
            <w:tcW w:w="976" w:type="pct"/>
            <w:shd w:val="clear" w:color="auto" w:fill="FFFFFF"/>
            <w:tcMar>
              <w:top w:w="0" w:type="dxa"/>
              <w:left w:w="0" w:type="dxa"/>
              <w:bottom w:w="0" w:type="dxa"/>
              <w:right w:w="0" w:type="dxa"/>
            </w:tcMar>
            <w:vAlign w:val="center"/>
          </w:tcPr>
          <w:p w14:paraId="4837395E">
            <w:pPr>
              <w:widowControl w:val="0"/>
              <w:jc w:val="right"/>
              <w:rPr>
                <w:rFonts w:ascii="Times New Roman" w:hAnsi="Times New Roman" w:eastAsia="宋体" w:cs="Times New Roman"/>
                <w:b/>
                <w:kern w:val="2"/>
              </w:rPr>
            </w:pPr>
            <w:r>
              <w:rPr>
                <w:rFonts w:ascii="Times New Roman" w:hAnsi="Times New Roman" w:eastAsia="等线" w:cs="Times New Roman"/>
                <w:b/>
                <w:bCs/>
              </w:rPr>
              <w:t>0.18%</w:t>
            </w:r>
          </w:p>
        </w:tc>
      </w:tr>
    </w:tbl>
    <w:p w14:paraId="30B3071C">
      <w:pPr>
        <w:pStyle w:val="3"/>
        <w:spacing w:before="322" w:line="240" w:lineRule="atLeast"/>
        <w:ind w:firstLine="412" w:firstLineChars="200"/>
        <w:jc w:val="both"/>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注：1、上述任何一名激励对象通过全部在有效期内的股权激励计划获授的本公司股票，累计不超过本计划提交股东大会审议时公司股本总额的1%。公司全部有效的激励计划所涉及的标的股票总数累计不超过股权激励计划提交股东大会审议时公司股本总额的10%。</w:t>
      </w:r>
    </w:p>
    <w:p w14:paraId="4175C147">
      <w:pPr>
        <w:pStyle w:val="3"/>
        <w:spacing w:before="322" w:line="240" w:lineRule="atLeast"/>
        <w:ind w:firstLine="412" w:firstLineChars="200"/>
        <w:jc w:val="both"/>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2、</w:t>
      </w:r>
      <w:bookmarkStart w:id="3" w:name="OLE_LINK4"/>
      <w:r>
        <w:rPr>
          <w:rFonts w:hint="eastAsia" w:asciiTheme="minorEastAsia" w:hAnsiTheme="minorEastAsia" w:eastAsiaTheme="minorEastAsia" w:cstheme="minorEastAsia"/>
          <w:spacing w:val="-2"/>
          <w:sz w:val="21"/>
          <w:szCs w:val="21"/>
          <w:lang w:eastAsia="zh-CN"/>
        </w:rPr>
        <w:t>本计划激励对象不包括独立董事、监事及单独或合计持有公司5%以上股份的股东或实际控制人及其配偶、父母、子女</w:t>
      </w:r>
      <w:bookmarkEnd w:id="3"/>
      <w:r>
        <w:rPr>
          <w:rFonts w:hint="eastAsia" w:asciiTheme="minorEastAsia" w:hAnsiTheme="minorEastAsia" w:eastAsiaTheme="minorEastAsia" w:cstheme="minorEastAsia"/>
          <w:spacing w:val="-2"/>
          <w:sz w:val="21"/>
          <w:szCs w:val="21"/>
          <w:lang w:eastAsia="zh-CN"/>
        </w:rPr>
        <w:t>。</w:t>
      </w:r>
    </w:p>
    <w:p w14:paraId="2D9FEB84">
      <w:pPr>
        <w:spacing w:before="120" w:beforeLines="50" w:line="560" w:lineRule="exact"/>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8、本次授予不会导致公司股权分布不具备上市条件的情况。</w:t>
      </w:r>
    </w:p>
    <w:p w14:paraId="47AF46C2">
      <w:pPr>
        <w:spacing w:before="120" w:beforeLines="50" w:line="5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二、激励对象为董事、高级管理人员的，在限制性股票授予日前6个月卖出公司股份情况的说明</w:t>
      </w:r>
    </w:p>
    <w:p w14:paraId="2DE4E3AE">
      <w:pPr>
        <w:spacing w:before="120" w:beforeLines="50" w:line="560" w:lineRule="exact"/>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本次预留授予的激励对象不包括公司董事、高级管理人员。</w:t>
      </w:r>
    </w:p>
    <w:p w14:paraId="4093F889">
      <w:pPr>
        <w:spacing w:before="120" w:beforeLines="50" w:line="5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三、监事会对激励对象名单核实的情况</w:t>
      </w:r>
    </w:p>
    <w:p w14:paraId="27EB60E9">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1、本次预留授予激励对象人员范围与公司2024年第一次临时股东大会批准的《激励计划》中规定的激励对象范围相符。</w:t>
      </w:r>
    </w:p>
    <w:p w14:paraId="1127AAAF">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2、获授限制性股票的预留授予激励对象为公司中层管理人员及核心技术、销售、管理（业务）人员，不包括独立董事、监事及单独或合计持有公司5%以上股份的股东或实际控制人及其配偶、父母、子女。预留授予部分激励对象符合《激励计划》规定的激励对象条件，且不存在《管理办</w:t>
      </w:r>
      <w:r>
        <w:rPr>
          <w:rFonts w:hint="eastAsia" w:ascii="宋体" w:hAnsi="宋体" w:eastAsia="宋体" w:cs="宋体"/>
          <w:sz w:val="24"/>
          <w:szCs w:val="24"/>
          <w:lang w:eastAsia="zh-CN"/>
        </w:rPr>
        <w:t>法》规定的不得成为激励对象的情形。</w:t>
      </w:r>
    </w:p>
    <w:p w14:paraId="01E452D1">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3、公司和本次授予权益的激励对象均未发生不得授予权益的情形，公司本次激励计划的预留授予条件已成就。</w:t>
      </w:r>
    </w:p>
    <w:p w14:paraId="40FDD21A">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综上所述，监事会认为本次预留授予部分激励对象符合相关法律、法规、部门规章和规范性文件所规定的条件，符合公司本次激励计划确定的激励对象范围，其作为本激励计划预留授予部分激励对象的主体资格合法、有效。同时，本次激励计划的预留授予条件已成就，监事会同意以</w:t>
      </w:r>
      <w:r>
        <w:rPr>
          <w:rFonts w:hint="eastAsia" w:ascii="宋体" w:hAnsi="宋体" w:eastAsia="宋体" w:cs="宋体"/>
          <w:sz w:val="24"/>
          <w:szCs w:val="24"/>
          <w:highlight w:val="none"/>
          <w:lang w:eastAsia="zh-CN"/>
        </w:rPr>
        <w:t>2025年1月2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日</w:t>
      </w:r>
      <w:r>
        <w:rPr>
          <w:rFonts w:hint="eastAsia" w:ascii="宋体" w:hAnsi="宋体" w:eastAsia="宋体" w:cs="宋体"/>
          <w:sz w:val="24"/>
          <w:szCs w:val="24"/>
          <w:lang w:eastAsia="zh-CN"/>
        </w:rPr>
        <w:t>为预留授予日，向符合条件的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lang w:eastAsia="zh-CN"/>
        </w:rPr>
        <w:t>名激励对象授予</w:t>
      </w:r>
      <w:r>
        <w:rPr>
          <w:rFonts w:hint="eastAsia" w:ascii="宋体" w:hAnsi="宋体" w:eastAsia="宋体" w:cs="宋体"/>
          <w:sz w:val="24"/>
          <w:szCs w:val="24"/>
          <w:highlight w:val="none"/>
          <w:lang w:eastAsia="zh-CN"/>
        </w:rPr>
        <w:t>6</w:t>
      </w:r>
      <w:r>
        <w:rPr>
          <w:rFonts w:ascii="宋体" w:hAnsi="宋体" w:eastAsia="宋体" w:cs="宋体"/>
          <w:sz w:val="24"/>
          <w:szCs w:val="24"/>
          <w:highlight w:val="none"/>
          <w:lang w:eastAsia="zh-CN"/>
        </w:rPr>
        <w:t>0</w:t>
      </w:r>
      <w:r>
        <w:rPr>
          <w:rFonts w:hint="eastAsia" w:ascii="宋体" w:hAnsi="宋体" w:eastAsia="宋体" w:cs="宋体"/>
          <w:sz w:val="24"/>
          <w:szCs w:val="24"/>
          <w:lang w:eastAsia="zh-CN"/>
        </w:rPr>
        <w:t>万股限制性股票，授予价格为</w:t>
      </w:r>
      <w:r>
        <w:rPr>
          <w:rFonts w:hint="eastAsia" w:ascii="宋体" w:hAnsi="宋体" w:eastAsia="宋体" w:cs="宋体"/>
          <w:sz w:val="24"/>
          <w:szCs w:val="24"/>
          <w:highlight w:val="none"/>
          <w:lang w:val="en-US" w:eastAsia="zh-CN"/>
        </w:rPr>
        <w:t>7.94</w:t>
      </w:r>
      <w:r>
        <w:rPr>
          <w:rFonts w:hint="eastAsia" w:ascii="宋体" w:hAnsi="宋体" w:eastAsia="宋体" w:cs="宋体"/>
          <w:sz w:val="24"/>
          <w:szCs w:val="24"/>
          <w:lang w:eastAsia="zh-CN"/>
        </w:rPr>
        <w:t>元/股。</w:t>
      </w:r>
    </w:p>
    <w:p w14:paraId="1F525A0F">
      <w:pPr>
        <w:spacing w:before="120" w:beforeLines="50" w:line="5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、本次授予对公司财务状况的影响</w:t>
      </w:r>
    </w:p>
    <w:p w14:paraId="3810D995">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根据《企业会计准则第11号——股份支付》和《企业会计准则第22号——金融工具确认和计量》的相关规定，限制性股票的单位成本=限制性股票的公允价值－授予价格，其中，限制性股票的公允价值为授予日收盘价。</w:t>
      </w:r>
    </w:p>
    <w:p w14:paraId="794CAB1C">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公司董事会已确认本次激励计划预留权益授予日为2025年1月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授予</w:t>
      </w:r>
      <w:r>
        <w:rPr>
          <w:rFonts w:hint="eastAsia" w:ascii="宋体" w:hAnsi="宋体" w:eastAsia="宋体" w:cs="宋体"/>
          <w:sz w:val="24"/>
          <w:szCs w:val="24"/>
          <w:highlight w:val="none"/>
          <w:lang w:eastAsia="zh-CN"/>
        </w:rPr>
        <w:t>价格为</w:t>
      </w:r>
      <w:r>
        <w:rPr>
          <w:rFonts w:hint="eastAsia" w:ascii="宋体" w:hAnsi="宋体" w:eastAsia="宋体" w:cs="宋体"/>
          <w:sz w:val="24"/>
          <w:szCs w:val="24"/>
          <w:highlight w:val="none"/>
          <w:lang w:val="en-US" w:eastAsia="zh-CN"/>
        </w:rPr>
        <w:t>7.94</w:t>
      </w:r>
      <w:r>
        <w:rPr>
          <w:rFonts w:hint="eastAsia" w:ascii="宋体" w:hAnsi="宋体" w:eastAsia="宋体" w:cs="宋体"/>
          <w:sz w:val="24"/>
          <w:szCs w:val="24"/>
          <w:highlight w:val="none"/>
          <w:lang w:eastAsia="zh-CN"/>
        </w:rPr>
        <w:t>元/股，基于授予价格的测算，本次激励计划</w:t>
      </w:r>
      <w:r>
        <w:rPr>
          <w:rFonts w:hint="eastAsia" w:ascii="宋体" w:hAnsi="宋体" w:eastAsia="宋体" w:cs="宋体"/>
          <w:sz w:val="24"/>
          <w:szCs w:val="24"/>
          <w:highlight w:val="none"/>
          <w:lang w:val="en-US" w:eastAsia="zh-CN"/>
        </w:rPr>
        <w:t>预留</w:t>
      </w:r>
      <w:r>
        <w:rPr>
          <w:rFonts w:hint="eastAsia" w:ascii="宋体" w:hAnsi="宋体" w:eastAsia="宋体" w:cs="宋体"/>
          <w:sz w:val="24"/>
          <w:szCs w:val="24"/>
          <w:highlight w:val="none"/>
          <w:lang w:eastAsia="zh-CN"/>
        </w:rPr>
        <w:t xml:space="preserve">授予限制性股票对各期会计成本的影响如下表所示：    </w:t>
      </w:r>
      <w:r>
        <w:rPr>
          <w:rFonts w:hint="eastAsia" w:ascii="宋体" w:hAnsi="宋体" w:eastAsia="宋体" w:cs="宋体"/>
          <w:sz w:val="24"/>
          <w:szCs w:val="24"/>
          <w:lang w:eastAsia="zh-CN"/>
        </w:rPr>
        <w:t xml:space="preserve">              </w:t>
      </w:r>
      <w:bookmarkStart w:id="4" w:name="_GoBack"/>
      <w:bookmarkEnd w:id="4"/>
    </w:p>
    <w:p w14:paraId="08AFF671">
      <w:pPr>
        <w:spacing w:before="120" w:beforeLines="50" w:line="560" w:lineRule="exact"/>
        <w:ind w:firstLine="6720" w:firstLineChars="2800"/>
        <w:jc w:val="both"/>
        <w:rPr>
          <w:rFonts w:hint="eastAsia" w:ascii="宋体" w:hAnsi="宋体" w:eastAsia="宋体" w:cs="宋体"/>
          <w:sz w:val="24"/>
          <w:szCs w:val="24"/>
        </w:rPr>
      </w:pPr>
      <w:r>
        <w:rPr>
          <w:rFonts w:hint="eastAsia" w:ascii="宋体" w:hAnsi="宋体" w:eastAsia="宋体" w:cs="宋体"/>
          <w:sz w:val="24"/>
          <w:szCs w:val="24"/>
        </w:rPr>
        <w:t>单位：万股、万元</w:t>
      </w: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34"/>
        <w:gridCol w:w="2205"/>
        <w:gridCol w:w="1733"/>
        <w:gridCol w:w="1733"/>
        <w:gridCol w:w="1734"/>
      </w:tblGrid>
      <w:tr w14:paraId="680B6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903" w:type="pct"/>
            <w:shd w:val="clear" w:color="auto" w:fill="D9D9D9"/>
            <w:vAlign w:val="center"/>
          </w:tcPr>
          <w:p w14:paraId="338EFE3B">
            <w:pPr>
              <w:widowControl w:val="0"/>
              <w:spacing w:line="560" w:lineRule="exact"/>
              <w:jc w:val="center"/>
              <w:rPr>
                <w:rFonts w:hint="eastAsia"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
                <w:kern w:val="2"/>
                <w:sz w:val="18"/>
                <w:szCs w:val="18"/>
                <w:lang w:eastAsia="zh-CN"/>
              </w:rPr>
              <w:t>预留</w:t>
            </w:r>
            <w:r>
              <w:rPr>
                <w:rFonts w:hint="eastAsia" w:asciiTheme="majorEastAsia" w:hAnsiTheme="majorEastAsia" w:eastAsiaTheme="majorEastAsia" w:cstheme="majorEastAsia"/>
                <w:b/>
                <w:kern w:val="2"/>
                <w:sz w:val="18"/>
                <w:szCs w:val="18"/>
              </w:rPr>
              <w:t>授予数量</w:t>
            </w:r>
          </w:p>
        </w:tc>
        <w:tc>
          <w:tcPr>
            <w:tcW w:w="1219" w:type="pct"/>
            <w:shd w:val="clear" w:color="auto" w:fill="D9D9D9"/>
            <w:vAlign w:val="center"/>
          </w:tcPr>
          <w:p w14:paraId="48732AE4">
            <w:pPr>
              <w:widowControl w:val="0"/>
              <w:spacing w:line="560" w:lineRule="exact"/>
              <w:jc w:val="center"/>
              <w:rPr>
                <w:rFonts w:hint="eastAsia"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
                <w:kern w:val="2"/>
                <w:sz w:val="18"/>
                <w:szCs w:val="18"/>
              </w:rPr>
              <w:t>预计摊销的总费用</w:t>
            </w:r>
          </w:p>
        </w:tc>
        <w:tc>
          <w:tcPr>
            <w:tcW w:w="958" w:type="pct"/>
            <w:shd w:val="clear" w:color="auto" w:fill="D9D9D9"/>
            <w:vAlign w:val="center"/>
          </w:tcPr>
          <w:p w14:paraId="582D14DB">
            <w:pPr>
              <w:widowControl w:val="0"/>
              <w:spacing w:line="560" w:lineRule="exact"/>
              <w:jc w:val="center"/>
              <w:rPr>
                <w:rFonts w:hint="eastAsia"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
                <w:kern w:val="2"/>
                <w:sz w:val="18"/>
                <w:szCs w:val="18"/>
              </w:rPr>
              <w:t>2025年</w:t>
            </w:r>
          </w:p>
        </w:tc>
        <w:tc>
          <w:tcPr>
            <w:tcW w:w="958" w:type="pct"/>
            <w:shd w:val="clear" w:color="auto" w:fill="D9D9D9"/>
            <w:vAlign w:val="center"/>
          </w:tcPr>
          <w:p w14:paraId="47EE3534">
            <w:pPr>
              <w:widowControl w:val="0"/>
              <w:spacing w:line="560" w:lineRule="exact"/>
              <w:jc w:val="center"/>
              <w:rPr>
                <w:rFonts w:hint="eastAsia"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
                <w:kern w:val="2"/>
                <w:sz w:val="18"/>
                <w:szCs w:val="18"/>
              </w:rPr>
              <w:t>2026年</w:t>
            </w:r>
          </w:p>
        </w:tc>
        <w:tc>
          <w:tcPr>
            <w:tcW w:w="958" w:type="pct"/>
            <w:shd w:val="clear" w:color="auto" w:fill="D9D9D9"/>
            <w:vAlign w:val="center"/>
          </w:tcPr>
          <w:p w14:paraId="742562CD">
            <w:pPr>
              <w:widowControl w:val="0"/>
              <w:spacing w:line="560" w:lineRule="exact"/>
              <w:jc w:val="center"/>
              <w:rPr>
                <w:rFonts w:hint="default" w:asciiTheme="majorEastAsia" w:hAnsiTheme="majorEastAsia" w:eastAsiaTheme="majorEastAsia" w:cstheme="majorEastAsia"/>
                <w:b/>
                <w:kern w:val="2"/>
                <w:sz w:val="18"/>
                <w:szCs w:val="18"/>
                <w:lang w:val="en-US" w:eastAsia="zh-CN"/>
              </w:rPr>
            </w:pPr>
            <w:r>
              <w:rPr>
                <w:rFonts w:hint="eastAsia" w:asciiTheme="majorEastAsia" w:hAnsiTheme="majorEastAsia" w:eastAsiaTheme="majorEastAsia" w:cstheme="majorEastAsia"/>
                <w:b/>
                <w:kern w:val="2"/>
                <w:sz w:val="18"/>
                <w:szCs w:val="18"/>
                <w:lang w:val="en-US" w:eastAsia="zh-CN"/>
              </w:rPr>
              <w:t>2027年</w:t>
            </w:r>
          </w:p>
        </w:tc>
      </w:tr>
      <w:tr w14:paraId="5CA29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03" w:type="pct"/>
            <w:shd w:val="clear" w:color="auto" w:fill="auto"/>
            <w:vAlign w:val="center"/>
          </w:tcPr>
          <w:p w14:paraId="7BFE9016">
            <w:pPr>
              <w:jc w:val="center"/>
              <w:textAlignment w:val="bottom"/>
              <w:rPr>
                <w:rFonts w:hint="eastAsia" w:asciiTheme="majorEastAsia" w:hAnsiTheme="majorEastAsia" w:eastAsiaTheme="majorEastAsia" w:cstheme="majorEastAsia"/>
                <w:sz w:val="18"/>
                <w:szCs w:val="18"/>
                <w:highlight w:val="none"/>
                <w:lang w:eastAsia="zh-CN" w:bidi="ar"/>
              </w:rPr>
            </w:pPr>
            <w:r>
              <w:rPr>
                <w:rFonts w:hint="eastAsia" w:asciiTheme="majorEastAsia" w:hAnsiTheme="majorEastAsia" w:eastAsiaTheme="majorEastAsia" w:cstheme="majorEastAsia"/>
                <w:sz w:val="18"/>
                <w:szCs w:val="18"/>
                <w:highlight w:val="none"/>
                <w:lang w:eastAsia="zh-CN" w:bidi="ar"/>
              </w:rPr>
              <w:t>60</w:t>
            </w:r>
          </w:p>
        </w:tc>
        <w:tc>
          <w:tcPr>
            <w:tcW w:w="1219" w:type="pct"/>
            <w:shd w:val="clear" w:color="auto" w:fill="auto"/>
            <w:vAlign w:val="center"/>
          </w:tcPr>
          <w:p w14:paraId="17522283">
            <w:pPr>
              <w:jc w:val="center"/>
              <w:textAlignment w:val="bottom"/>
              <w:rPr>
                <w:rFonts w:hint="default" w:asciiTheme="majorEastAsia" w:hAnsiTheme="majorEastAsia" w:eastAsiaTheme="majorEastAsia" w:cstheme="majorEastAsia"/>
                <w:sz w:val="18"/>
                <w:szCs w:val="18"/>
                <w:highlight w:val="none"/>
                <w:lang w:val="en-US" w:bidi="ar"/>
              </w:rPr>
            </w:pPr>
            <w:r>
              <w:rPr>
                <w:rFonts w:hint="eastAsia" w:asciiTheme="majorEastAsia" w:hAnsiTheme="majorEastAsia" w:eastAsiaTheme="majorEastAsia" w:cstheme="majorEastAsia"/>
                <w:sz w:val="18"/>
                <w:szCs w:val="18"/>
                <w:highlight w:val="none"/>
                <w:lang w:val="en-US" w:eastAsia="zh-CN" w:bidi="ar"/>
              </w:rPr>
              <w:t>315.60</w:t>
            </w:r>
          </w:p>
        </w:tc>
        <w:tc>
          <w:tcPr>
            <w:tcW w:w="958" w:type="pct"/>
            <w:shd w:val="clear" w:color="auto" w:fill="auto"/>
            <w:vAlign w:val="center"/>
          </w:tcPr>
          <w:p w14:paraId="0C52C45C">
            <w:pPr>
              <w:jc w:val="center"/>
              <w:textAlignment w:val="bottom"/>
              <w:rPr>
                <w:rFonts w:hint="default" w:asciiTheme="majorEastAsia" w:hAnsiTheme="majorEastAsia" w:eastAsiaTheme="majorEastAsia" w:cstheme="majorEastAsia"/>
                <w:sz w:val="18"/>
                <w:szCs w:val="18"/>
                <w:highlight w:val="none"/>
                <w:lang w:val="en-US"/>
              </w:rPr>
            </w:pPr>
            <w:r>
              <w:rPr>
                <w:rFonts w:hint="eastAsia" w:asciiTheme="majorEastAsia" w:hAnsiTheme="majorEastAsia" w:eastAsiaTheme="majorEastAsia" w:cstheme="majorEastAsia"/>
                <w:sz w:val="18"/>
                <w:szCs w:val="18"/>
                <w:highlight w:val="none"/>
                <w:lang w:val="en-US" w:eastAsia="zh-CN" w:bidi="ar"/>
              </w:rPr>
              <w:t>216.97</w:t>
            </w:r>
          </w:p>
        </w:tc>
        <w:tc>
          <w:tcPr>
            <w:tcW w:w="958" w:type="pct"/>
            <w:shd w:val="clear" w:color="auto" w:fill="auto"/>
            <w:vAlign w:val="center"/>
          </w:tcPr>
          <w:p w14:paraId="2D34A1E7">
            <w:pPr>
              <w:jc w:val="center"/>
              <w:textAlignment w:val="bottom"/>
              <w:rPr>
                <w:rFonts w:hint="default" w:asciiTheme="majorEastAsia" w:hAnsiTheme="majorEastAsia" w:eastAsiaTheme="majorEastAsia" w:cstheme="majorEastAsia"/>
                <w:sz w:val="18"/>
                <w:szCs w:val="18"/>
                <w:highlight w:val="none"/>
                <w:lang w:val="en-US"/>
              </w:rPr>
            </w:pPr>
            <w:r>
              <w:rPr>
                <w:rFonts w:hint="eastAsia" w:asciiTheme="majorEastAsia" w:hAnsiTheme="majorEastAsia" w:eastAsiaTheme="majorEastAsia" w:cstheme="majorEastAsia"/>
                <w:sz w:val="18"/>
                <w:szCs w:val="18"/>
                <w:highlight w:val="none"/>
                <w:lang w:val="en-US" w:eastAsia="zh-CN" w:bidi="ar"/>
              </w:rPr>
              <w:t>92.05</w:t>
            </w:r>
          </w:p>
        </w:tc>
        <w:tc>
          <w:tcPr>
            <w:tcW w:w="958" w:type="pct"/>
            <w:shd w:val="clear" w:color="auto" w:fill="auto"/>
            <w:vAlign w:val="center"/>
          </w:tcPr>
          <w:p w14:paraId="25A7ACEF">
            <w:pPr>
              <w:jc w:val="center"/>
              <w:textAlignment w:val="bottom"/>
              <w:rPr>
                <w:rFonts w:hint="default" w:asciiTheme="majorEastAsia" w:hAnsiTheme="majorEastAsia" w:eastAsiaTheme="majorEastAsia" w:cstheme="majorEastAsia"/>
                <w:sz w:val="18"/>
                <w:szCs w:val="18"/>
                <w:highlight w:val="none"/>
                <w:lang w:val="en-US" w:eastAsia="zh-CN" w:bidi="ar"/>
              </w:rPr>
            </w:pPr>
            <w:r>
              <w:rPr>
                <w:rFonts w:hint="eastAsia" w:asciiTheme="majorEastAsia" w:hAnsiTheme="majorEastAsia" w:eastAsiaTheme="majorEastAsia" w:cstheme="majorEastAsia"/>
                <w:sz w:val="18"/>
                <w:szCs w:val="18"/>
                <w:highlight w:val="none"/>
                <w:lang w:val="en-US" w:eastAsia="zh-CN" w:bidi="ar"/>
              </w:rPr>
              <w:t>6.58</w:t>
            </w:r>
          </w:p>
        </w:tc>
      </w:tr>
    </w:tbl>
    <w:p w14:paraId="49E5F335">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公司以目前信息初步估计，限制性股票费用的摊销对有效期内各年净利润有所影响。但同时本次激励计划实施后，将进一步提升员工的凝聚力、团队稳定性，并有效激发管理团队的积极性，从而提高经营效率，给公司带来更高的经营业绩和内在价值。</w:t>
      </w:r>
    </w:p>
    <w:p w14:paraId="245EDF56">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上述成本摊销预测对公司经营成果影响的最终结果将以会计师事务所出具的年度审计报告为准。</w:t>
      </w:r>
    </w:p>
    <w:p w14:paraId="3E7E0CDD">
      <w:pPr>
        <w:spacing w:before="120" w:beforeLines="50" w:line="5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、法律意见书的结论意见</w:t>
      </w:r>
    </w:p>
    <w:p w14:paraId="7A6810C4">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律师认为：</w:t>
      </w:r>
      <w:r>
        <w:rPr>
          <w:rFonts w:hint="eastAsia" w:ascii="宋体" w:hAnsi="宋体" w:eastAsia="宋体" w:cs="宋体"/>
          <w:sz w:val="24"/>
          <w:szCs w:val="24"/>
          <w:highlight w:val="none"/>
          <w:lang w:eastAsia="zh-CN"/>
        </w:rPr>
        <w:t>本次授予已经取得现阶段必要的批准和授权，符合《管理办法》等相关法律法规及《激励计划》的相关规定；本次授予的条件已经成就，公司向激励对象授予预留部分的限制性股票符合《管理办法》等相关法律法规及《激励计划》的相关规定；本次授予的授予日、激励对象、授予数量及授予价格符合《管理办法》等相关法律法规及《激励计划》的相关规定。</w:t>
      </w:r>
    </w:p>
    <w:p w14:paraId="70129866">
      <w:pPr>
        <w:spacing w:before="120" w:beforeLines="50" w:line="5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、独立财务顾问的</w:t>
      </w:r>
      <w:r>
        <w:rPr>
          <w:rFonts w:hint="eastAsia" w:ascii="宋体" w:hAnsi="宋体" w:eastAsia="宋体" w:cs="宋体"/>
          <w:b/>
          <w:bCs/>
          <w:sz w:val="24"/>
          <w:szCs w:val="24"/>
          <w:lang w:val="en-US" w:eastAsia="zh-CN"/>
        </w:rPr>
        <w:t>报告</w:t>
      </w:r>
      <w:r>
        <w:rPr>
          <w:rFonts w:hint="eastAsia" w:ascii="宋体" w:hAnsi="宋体" w:eastAsia="宋体" w:cs="宋体"/>
          <w:b/>
          <w:bCs/>
          <w:sz w:val="24"/>
          <w:szCs w:val="24"/>
          <w:lang w:eastAsia="zh-CN"/>
        </w:rPr>
        <w:t>意见</w:t>
      </w:r>
    </w:p>
    <w:p w14:paraId="5C7EBC45">
      <w:pPr>
        <w:spacing w:before="120" w:beforeLines="50"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财务顾问认为：截至本报告出具日，公司本次限制性股票激励计划预留授予相关事项已取得了必要的批准与授权，本次限制性股票激励计划预留授予日、授予价格、授予对象、授予数量等事项的确定符合相关法律以及本激励计划的有关规定，公司限制性股票激励计划规定的授予条件已经成就。公司本次授予后，尚需按照相关要求在规定期限内进行信息披露并向上海证券交易所、中国证券登记结算有限责任公司上海分公司办理相应后续手续。</w:t>
      </w:r>
    </w:p>
    <w:p w14:paraId="7E83D8D6">
      <w:pPr>
        <w:spacing w:before="120" w:beforeLines="50" w:line="560" w:lineRule="exact"/>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特此公告。</w:t>
      </w:r>
    </w:p>
    <w:p w14:paraId="31B5BF61">
      <w:pPr>
        <w:spacing w:before="120" w:beforeLines="50" w:line="560" w:lineRule="exact"/>
        <w:ind w:firstLine="720" w:firstLineChars="300"/>
        <w:jc w:val="both"/>
        <w:rPr>
          <w:rFonts w:hint="eastAsia" w:ascii="宋体" w:hAnsi="宋体" w:eastAsia="宋体" w:cs="宋体"/>
          <w:sz w:val="24"/>
          <w:szCs w:val="24"/>
          <w:lang w:eastAsia="zh-CN"/>
        </w:rPr>
      </w:pPr>
    </w:p>
    <w:p w14:paraId="68C27CAC">
      <w:pPr>
        <w:spacing w:before="120" w:beforeLines="50" w:line="560" w:lineRule="exact"/>
        <w:ind w:firstLine="720" w:firstLineChars="30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重庆望变电气（集团）股份有限公司董事会</w:t>
      </w:r>
    </w:p>
    <w:p w14:paraId="79B938BD">
      <w:pPr>
        <w:spacing w:before="120" w:beforeLines="50" w:line="56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eastAsia="zh-CN"/>
        </w:rPr>
        <w:t>5</w:t>
      </w:r>
      <w:r>
        <w:rPr>
          <w:rFonts w:hint="eastAsia" w:ascii="宋体" w:hAnsi="宋体" w:eastAsia="宋体" w:cs="宋体"/>
          <w:sz w:val="24"/>
          <w:szCs w:val="24"/>
        </w:rPr>
        <w:t>年1月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sectPr>
      <w:footerReference r:id="rId3" w:type="default"/>
      <w:pgSz w:w="11907" w:h="16839"/>
      <w:pgMar w:top="1431" w:right="1529" w:bottom="1060" w:left="1551" w:header="0" w:footer="8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5551">
    <w:pPr>
      <w:spacing w:line="170" w:lineRule="auto"/>
      <w:ind w:left="4366"/>
      <w:rPr>
        <w:rFonts w:hint="eastAsia" w:ascii="宋体" w:hAnsi="宋体" w:eastAsia="宋体" w:cs="宋体"/>
        <w:sz w:val="18"/>
        <w:szCs w:val="18"/>
      </w:rPr>
    </w:pPr>
    <w:r>
      <w:rPr>
        <w:rFonts w:ascii="宋体" w:hAnsi="宋体" w:eastAsia="宋体" w:cs="宋体"/>
        <w:sz w:val="18"/>
        <w:szCs w:val="18"/>
      </w:rPr>
      <w:t>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2C0BB"/>
    <w:multiLevelType w:val="singleLevel"/>
    <w:tmpl w:val="CE92C0BB"/>
    <w:lvl w:ilvl="0" w:tentative="0">
      <w:start w:val="1"/>
      <w:numFmt w:val="bullet"/>
      <w:lvlText w:val=""/>
      <w:lvlJc w:val="left"/>
      <w:pPr>
        <w:ind w:left="420" w:hanging="420"/>
      </w:pPr>
      <w:rPr>
        <w:rFonts w:hint="default" w:ascii="Wingdings" w:hAnsi="Wingdings"/>
      </w:rPr>
    </w:lvl>
  </w:abstractNum>
  <w:abstractNum w:abstractNumId="1">
    <w:nsid w:val="DB23230E"/>
    <w:multiLevelType w:val="singleLevel"/>
    <w:tmpl w:val="DB23230E"/>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TdlNzQyZmI5OWM5OGM0MjRkNWIyMzRjOTlhMGU0Y2QifQ=="/>
  </w:docVars>
  <w:rsids>
    <w:rsidRoot w:val="007E6E1E"/>
    <w:rsid w:val="00062ED6"/>
    <w:rsid w:val="00093FC8"/>
    <w:rsid w:val="000E5D21"/>
    <w:rsid w:val="00105FCD"/>
    <w:rsid w:val="0014688F"/>
    <w:rsid w:val="001839E3"/>
    <w:rsid w:val="00287D67"/>
    <w:rsid w:val="003136E7"/>
    <w:rsid w:val="004D7E6B"/>
    <w:rsid w:val="005303A2"/>
    <w:rsid w:val="005E5AE1"/>
    <w:rsid w:val="00651F13"/>
    <w:rsid w:val="007152E7"/>
    <w:rsid w:val="007969A2"/>
    <w:rsid w:val="007E6E1E"/>
    <w:rsid w:val="008E2FF2"/>
    <w:rsid w:val="009B0041"/>
    <w:rsid w:val="00A43926"/>
    <w:rsid w:val="00B621CE"/>
    <w:rsid w:val="00B739C7"/>
    <w:rsid w:val="00E63508"/>
    <w:rsid w:val="00FE04AA"/>
    <w:rsid w:val="08B840D0"/>
    <w:rsid w:val="0CEE1EC4"/>
    <w:rsid w:val="0E283D0A"/>
    <w:rsid w:val="13FA0AFC"/>
    <w:rsid w:val="14482F64"/>
    <w:rsid w:val="17340167"/>
    <w:rsid w:val="1E3F5B9A"/>
    <w:rsid w:val="22F806A6"/>
    <w:rsid w:val="251D6575"/>
    <w:rsid w:val="26251932"/>
    <w:rsid w:val="27011FAD"/>
    <w:rsid w:val="31027B7D"/>
    <w:rsid w:val="35A57F65"/>
    <w:rsid w:val="457D2990"/>
    <w:rsid w:val="465059D7"/>
    <w:rsid w:val="46EB5366"/>
    <w:rsid w:val="496778FB"/>
    <w:rsid w:val="4B493608"/>
    <w:rsid w:val="4E844E57"/>
    <w:rsid w:val="515E259D"/>
    <w:rsid w:val="695C5FFA"/>
    <w:rsid w:val="7736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semiHidden/>
    <w:qFormat/>
    <w:uiPriority w:val="0"/>
    <w:rPr>
      <w:rFonts w:ascii="仿宋" w:hAnsi="仿宋" w:eastAsia="仿宋" w:cs="仿宋"/>
      <w:sz w:val="30"/>
      <w:szCs w:val="30"/>
    </w:rPr>
  </w:style>
  <w:style w:type="paragraph" w:styleId="4">
    <w:name w:val="footer"/>
    <w:basedOn w:val="1"/>
    <w:link w:val="14"/>
    <w:autoRedefine/>
    <w:qFormat/>
    <w:uiPriority w:val="0"/>
    <w:pPr>
      <w:tabs>
        <w:tab w:val="center" w:pos="4153"/>
        <w:tab w:val="right" w:pos="8306"/>
      </w:tabs>
    </w:pPr>
    <w:rPr>
      <w:sz w:val="18"/>
      <w:szCs w:val="18"/>
    </w:rPr>
  </w:style>
  <w:style w:type="paragraph" w:styleId="5">
    <w:name w:val="header"/>
    <w:basedOn w:val="1"/>
    <w:link w:val="13"/>
    <w:qFormat/>
    <w:uiPriority w:val="0"/>
    <w:pPr>
      <w:tabs>
        <w:tab w:val="center" w:pos="4153"/>
        <w:tab w:val="right" w:pos="8306"/>
      </w:tabs>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rPr>
  </w:style>
  <w:style w:type="paragraph" w:customStyle="1" w:styleId="12">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3">
    <w:name w:val="页眉 字符"/>
    <w:basedOn w:val="8"/>
    <w:link w:val="5"/>
    <w:autoRedefine/>
    <w:qFormat/>
    <w:uiPriority w:val="0"/>
    <w:rPr>
      <w:rFonts w:eastAsia="Arial"/>
      <w:snapToGrid w:val="0"/>
      <w:color w:val="000000"/>
      <w:sz w:val="18"/>
      <w:szCs w:val="18"/>
      <w:lang w:eastAsia="en-US"/>
    </w:rPr>
  </w:style>
  <w:style w:type="character" w:customStyle="1" w:styleId="14">
    <w:name w:val="页脚 字符"/>
    <w:basedOn w:val="8"/>
    <w:link w:val="4"/>
    <w:qFormat/>
    <w:uiPriority w:val="0"/>
    <w:rPr>
      <w:rFonts w:eastAsia="Arial"/>
      <w:snapToGrid w:val="0"/>
      <w:color w:val="000000"/>
      <w:sz w:val="18"/>
      <w:szCs w:val="18"/>
      <w:lang w:eastAsia="en-US"/>
    </w:rPr>
  </w:style>
  <w:style w:type="character" w:customStyle="1" w:styleId="15">
    <w:name w:val="批注文字 字符"/>
    <w:basedOn w:val="8"/>
    <w:link w:val="2"/>
    <w:qFormat/>
    <w:uiPriority w:val="0"/>
    <w:rPr>
      <w:rFonts w:eastAsia="Arial"/>
      <w:snapToGrid w:val="0"/>
      <w:color w:val="000000"/>
      <w:sz w:val="21"/>
      <w:szCs w:val="21"/>
      <w:lang w:eastAsia="en-US"/>
    </w:rPr>
  </w:style>
  <w:style w:type="character" w:customStyle="1" w:styleId="16">
    <w:name w:val="批注主题 字符"/>
    <w:basedOn w:val="15"/>
    <w:link w:val="6"/>
    <w:autoRedefine/>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4243</Words>
  <Characters>4510</Characters>
  <Lines>40</Lines>
  <Paragraphs>11</Paragraphs>
  <TotalTime>3</TotalTime>
  <ScaleCrop>false</ScaleCrop>
  <LinksUpToDate>false</LinksUpToDate>
  <CharactersWithSpaces>4562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2024-12-16T18:41:00Z</dcterms:created>
  <dc:creator>jtcw06</dc:creator>
  <cp:lastModifiedBy>雯亦</cp:lastModifiedBy>
  <dcterms:modified xsi:type="dcterms:W3CDTF">2025-01-21T07:34:01Z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2024-12-25T15:54:03Z</vt:filetime>
  </property>
  <property fmtid="{D5CDD505-2E9C-101B-9397-08002B2CF9AE}" pid="4" name="KSOProductBuildVer">
    <vt:lpwstr>2052-12.1.0.19770</vt:lpwstr>
  </property>
  <property fmtid="{D5CDD505-2E9C-101B-9397-08002B2CF9AE}" pid="5" name="ICV">
    <vt:lpwstr>FCB2BF95E6F941A9BAB5AF3F8FBED04D_13</vt:lpwstr>
  </property>
  <property fmtid="{D5CDD505-2E9C-101B-9397-08002B2CF9AE}" pid="6" name="KSOTemplateDocerSaveRecord">
    <vt:lpwstr>eyJoZGlkIjoiZTQzZmRmZDMxMjkwMDE2NTk0ZWQ1ZWYwMzRmYjVhNmUiLCJ1c2VySWQiOiI2NDQwNzQxNTQifQ==</vt:lpwstr>
  </property>
</Properties>
</file>