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89F4B">
      <w:pPr>
        <w:adjustRightInd w:val="0"/>
        <w:snapToGrid w:val="0"/>
        <w:spacing w:line="560" w:lineRule="exact"/>
        <w:jc w:val="left"/>
        <w:rPr>
          <w:rFonts w:hint="eastAsia" w:ascii="仿宋" w:hAnsi="仿宋" w:eastAsia="仿宋_GB2312"/>
          <w:sz w:val="30"/>
          <w:szCs w:val="30"/>
        </w:rPr>
      </w:pPr>
      <w:r>
        <w:rPr>
          <w:rFonts w:hint="eastAsia" w:ascii="宋体" w:hAnsi="宋体"/>
          <w:b/>
          <w:sz w:val="24"/>
          <w:szCs w:val="24"/>
        </w:rPr>
        <w:t>证券代码：</w:t>
      </w:r>
      <w:r>
        <w:rPr>
          <w:rFonts w:ascii="宋体" w:hAnsi="宋体"/>
          <w:b/>
          <w:sz w:val="24"/>
          <w:szCs w:val="24"/>
        </w:rPr>
        <w:t xml:space="preserve">603191        </w:t>
      </w:r>
      <w:r>
        <w:rPr>
          <w:rFonts w:hint="eastAsia" w:ascii="宋体" w:hAnsi="宋体"/>
          <w:b/>
          <w:sz w:val="24"/>
          <w:szCs w:val="24"/>
        </w:rPr>
        <w:t xml:space="preserve">证券简称：望变电气 </w:t>
      </w:r>
      <w:r>
        <w:rPr>
          <w:rFonts w:ascii="宋体" w:hAnsi="宋体"/>
          <w:b/>
          <w:sz w:val="24"/>
          <w:szCs w:val="24"/>
        </w:rPr>
        <w:t xml:space="preserve">       </w:t>
      </w:r>
      <w:r>
        <w:rPr>
          <w:rFonts w:hint="eastAsia" w:ascii="宋体" w:hAnsi="宋体"/>
          <w:b/>
          <w:sz w:val="24"/>
          <w:szCs w:val="24"/>
        </w:rPr>
        <w:t>公告编号：2</w:t>
      </w:r>
      <w:r>
        <w:rPr>
          <w:rFonts w:ascii="宋体" w:hAnsi="宋体"/>
          <w:b/>
          <w:sz w:val="24"/>
          <w:szCs w:val="24"/>
        </w:rPr>
        <w:t>02</w:t>
      </w:r>
      <w:r>
        <w:rPr>
          <w:rFonts w:hint="eastAsia" w:ascii="宋体" w:hAnsi="宋体"/>
          <w:b/>
          <w:sz w:val="24"/>
          <w:szCs w:val="24"/>
        </w:rPr>
        <w:t>5</w:t>
      </w:r>
      <w:r>
        <w:rPr>
          <w:rFonts w:ascii="宋体" w:hAnsi="宋体"/>
          <w:b/>
          <w:sz w:val="24"/>
          <w:szCs w:val="24"/>
        </w:rPr>
        <w:t>-0</w:t>
      </w:r>
      <w:r>
        <w:rPr>
          <w:rFonts w:hint="eastAsia" w:ascii="宋体" w:hAnsi="宋体" w:eastAsia="仿宋_GB2312"/>
          <w:b/>
          <w:sz w:val="24"/>
          <w:szCs w:val="24"/>
        </w:rPr>
        <w:t>12</w:t>
      </w:r>
    </w:p>
    <w:p w14:paraId="5A90EB51">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14:paraId="27A0E369">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关于2025年2月</w:t>
      </w:r>
      <w:r>
        <w:rPr>
          <w:rFonts w:ascii="宋体" w:hAnsi="宋体" w:cs="仿宋_GB2312"/>
          <w:b/>
          <w:bCs/>
          <w:color w:val="FF0000"/>
          <w:sz w:val="36"/>
          <w:szCs w:val="36"/>
        </w:rPr>
        <w:t>对外</w:t>
      </w:r>
      <w:r>
        <w:rPr>
          <w:rFonts w:hint="eastAsia" w:ascii="宋体" w:hAnsi="宋体" w:cs="仿宋_GB2312"/>
          <w:b/>
          <w:bCs/>
          <w:color w:val="FF0000"/>
          <w:sz w:val="36"/>
          <w:szCs w:val="36"/>
        </w:rPr>
        <w:t>担保的进展公告</w:t>
      </w:r>
    </w:p>
    <w:p w14:paraId="10CE4F52">
      <w:pPr>
        <w:adjustRightInd w:val="0"/>
        <w:snapToGrid w:val="0"/>
        <w:spacing w:before="159" w:beforeLines="50" w:line="560" w:lineRule="exact"/>
        <w:jc w:val="center"/>
        <w:rPr>
          <w:rFonts w:hint="eastAsia" w:ascii="仿宋_GB2312" w:hAnsi="仿宋_GB2312" w:eastAsia="仿宋_GB2312" w:cs="仿宋_GB2312"/>
          <w:b/>
          <w:bCs/>
          <w:sz w:val="30"/>
          <w:szCs w:val="30"/>
        </w:rPr>
      </w:pPr>
    </w:p>
    <w:p w14:paraId="48EFC4E2">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sz w:val="24"/>
          <w:szCs w:val="24"/>
        </w:rPr>
        <w:t>。</w:t>
      </w:r>
    </w:p>
    <w:p w14:paraId="642CEA82">
      <w:pPr>
        <w:adjustRightInd w:val="0"/>
        <w:snapToGrid w:val="0"/>
        <w:spacing w:line="560" w:lineRule="exact"/>
        <w:rPr>
          <w:rFonts w:hint="eastAsia" w:ascii="宋体" w:hAnsi="宋体" w:cs="宋体"/>
          <w:sz w:val="24"/>
          <w:szCs w:val="24"/>
        </w:rPr>
      </w:pPr>
    </w:p>
    <w:p w14:paraId="3DD71F21">
      <w:pPr>
        <w:adjustRightInd w:val="0"/>
        <w:snapToGrid w:val="0"/>
        <w:spacing w:line="560" w:lineRule="exact"/>
        <w:rPr>
          <w:rFonts w:hint="eastAsia" w:ascii="宋体" w:hAnsi="宋体" w:cs="宋体"/>
          <w:b/>
          <w:sz w:val="24"/>
          <w:szCs w:val="24"/>
        </w:rPr>
      </w:pPr>
      <w:r>
        <w:rPr>
          <w:rFonts w:hint="eastAsia" w:ascii="宋体" w:hAnsi="宋体" w:cs="宋体"/>
          <w:b/>
          <w:sz w:val="24"/>
          <w:szCs w:val="24"/>
        </w:rPr>
        <w:t>重要内容提示：</w:t>
      </w:r>
    </w:p>
    <w:p w14:paraId="4611552F">
      <w:pPr>
        <w:pStyle w:val="94"/>
        <w:numPr>
          <w:ilvl w:val="0"/>
          <w:numId w:val="12"/>
        </w:numPr>
        <w:rPr>
          <w:rFonts w:hint="eastAsia" w:ascii="宋体" w:hAnsi="宋体" w:cs="宋体"/>
          <w:sz w:val="24"/>
          <w:szCs w:val="24"/>
        </w:rPr>
      </w:pPr>
      <w:r>
        <w:rPr>
          <w:rFonts w:hint="eastAsia" w:ascii="宋体" w:hAnsi="宋体" w:cs="宋体"/>
          <w:sz w:val="24"/>
          <w:szCs w:val="24"/>
        </w:rPr>
        <w:t>担保金额及已实际提供的担保余额：2025年2月1日-2月28日期间，重庆望变电气（集团）股份有限公司（以下简称“公司”或“望变电气”）及下属子公司无新增对外担保情况；截止2025年2月末，公司对外担保余额为 26,539.76 万元，均为对子公司提供的担保；</w:t>
      </w:r>
    </w:p>
    <w:p w14:paraId="3D8BEAA5">
      <w:pPr>
        <w:pStyle w:val="94"/>
        <w:rPr>
          <w:rFonts w:hint="eastAsia" w:ascii="宋体" w:hAnsi="宋体" w:cs="宋体"/>
          <w:sz w:val="24"/>
          <w:szCs w:val="24"/>
        </w:rPr>
      </w:pPr>
      <w:r>
        <w:rPr>
          <w:rFonts w:hint="eastAsia" w:ascii="宋体" w:hAnsi="宋体" w:cs="宋体"/>
          <w:sz w:val="24"/>
          <w:szCs w:val="24"/>
        </w:rPr>
        <w:t>是否有反担保：无</w:t>
      </w:r>
    </w:p>
    <w:p w14:paraId="78CF50A9">
      <w:pPr>
        <w:pStyle w:val="94"/>
        <w:rPr>
          <w:rFonts w:hint="eastAsia" w:ascii="宋体" w:hAnsi="宋体" w:cs="宋体"/>
          <w:sz w:val="24"/>
          <w:szCs w:val="24"/>
        </w:rPr>
      </w:pPr>
      <w:r>
        <w:rPr>
          <w:rFonts w:hint="eastAsia" w:ascii="宋体" w:hAnsi="宋体" w:cs="宋体"/>
          <w:sz w:val="24"/>
          <w:szCs w:val="24"/>
        </w:rPr>
        <w:t>公司有无逾期对外担保的情况：无</w:t>
      </w:r>
    </w:p>
    <w:p w14:paraId="52349442">
      <w:pPr>
        <w:pStyle w:val="94"/>
        <w:rPr>
          <w:rFonts w:hint="eastAsia" w:ascii="宋体" w:hAnsi="宋体" w:cs="宋体"/>
          <w:sz w:val="24"/>
          <w:szCs w:val="24"/>
        </w:rPr>
      </w:pPr>
      <w:r>
        <w:rPr>
          <w:rFonts w:hint="eastAsia" w:ascii="宋体" w:hAnsi="宋体" w:cs="宋体"/>
          <w:spacing w:val="-1"/>
          <w:sz w:val="24"/>
          <w:szCs w:val="24"/>
        </w:rPr>
        <w:t>特别风险提示：截至2025年2月28日，公司对外担保总额为人民币46,500万元，担保余额为</w:t>
      </w:r>
      <w:r>
        <w:rPr>
          <w:rFonts w:hint="eastAsia" w:ascii="宋体" w:hAnsi="宋体" w:cs="宋体"/>
          <w:sz w:val="24"/>
          <w:szCs w:val="24"/>
        </w:rPr>
        <w:t>26,539.76</w:t>
      </w:r>
      <w:r>
        <w:rPr>
          <w:rFonts w:hint="eastAsia" w:ascii="宋体" w:hAnsi="宋体" w:cs="宋体"/>
          <w:spacing w:val="-1"/>
          <w:sz w:val="24"/>
          <w:szCs w:val="24"/>
        </w:rPr>
        <w:t>万元，占公司最近一期经审计净资产的11.10%；对</w:t>
      </w:r>
      <w:r>
        <w:rPr>
          <w:rFonts w:hint="eastAsia" w:ascii="宋体" w:hAnsi="宋体" w:cs="宋体"/>
          <w:spacing w:val="-2"/>
          <w:sz w:val="24"/>
          <w:szCs w:val="24"/>
        </w:rPr>
        <w:t>资产负债率超过70.00%的单位提供担保的金额为人民币11,000.00万元，担保余额为4,411.59万元，占公司最近一期经审计净资产的1.85%；</w:t>
      </w:r>
      <w:r>
        <w:rPr>
          <w:rFonts w:hint="eastAsia" w:ascii="宋体" w:hAnsi="宋体" w:cs="宋体"/>
          <w:spacing w:val="-1"/>
          <w:sz w:val="24"/>
          <w:szCs w:val="24"/>
        </w:rPr>
        <w:t>敬请投资者充分关</w:t>
      </w:r>
      <w:r>
        <w:rPr>
          <w:rFonts w:hint="eastAsia" w:ascii="宋体" w:hAnsi="宋体" w:cs="宋体"/>
          <w:spacing w:val="-5"/>
          <w:sz w:val="24"/>
          <w:szCs w:val="24"/>
        </w:rPr>
        <w:t>注担保风险。</w:t>
      </w:r>
      <w:bookmarkStart w:id="0" w:name="_GoBack"/>
      <w:bookmarkEnd w:id="0"/>
    </w:p>
    <w:p w14:paraId="6DFE09CA">
      <w:pPr>
        <w:numPr>
          <w:ilvl w:val="0"/>
          <w:numId w:val="13"/>
        </w:num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担保情况概述</w:t>
      </w:r>
    </w:p>
    <w:p w14:paraId="00101A03">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（一）</w:t>
      </w:r>
      <w:r>
        <w:rPr>
          <w:rFonts w:ascii="宋体" w:hAnsi="宋体" w:cs="宋体"/>
          <w:kern w:val="0"/>
          <w:sz w:val="24"/>
          <w:szCs w:val="24"/>
        </w:rPr>
        <w:t>公司对外担保总额及内部决策程序履行</w:t>
      </w:r>
      <w:r>
        <w:rPr>
          <w:rFonts w:hint="eastAsia" w:ascii="宋体" w:hAnsi="宋体" w:cs="宋体"/>
          <w:kern w:val="0"/>
          <w:sz w:val="24"/>
          <w:szCs w:val="24"/>
        </w:rPr>
        <w:t>情况</w:t>
      </w:r>
    </w:p>
    <w:p w14:paraId="07CBA296">
      <w:pPr>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公司于2024年11月26日召开第四届董事会第九次会议审议通过《关于2025年度向银行等金融机构申请综合授信额度及为子公司提供融资担保额度的议案》，同意2025年度为子公司重庆惠泽电器有限公司（以下简称“惠泽电器”）向银行等金融机构申请综合授信或借款提供新增额度不超过1亿元人民币（或等值外币）的担保；同意2025年度为资产负债率超过70%的子公司黔南望江变压器有限公司（以下简称“黔南望江”）向银行等金融机构申请综合授信或借款提供新增额度不超过2亿元人民币（或等值外币）的担保；同意2025年度为子公司云变电气向银行等金融机构申请综合授信或借款提供新增额度不超过12亿元人民币（或等值外币）的担保。上述担保额度有效期自2025年1月1日至2025年12月31日。该担保事项已提交公司2024年第三次临时股东会审议通过。具体情况详见公司在上海证券交易所官网披露的《关于预计2025年度对子公司新增担保额度的公告》（公告编号：2024-075）和《2024年第三次临时股东大会决议公告》（公告编号：2024-082）。</w:t>
      </w:r>
    </w:p>
    <w:p w14:paraId="4501BC21">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（二）本月对外担保进展情况</w:t>
      </w:r>
    </w:p>
    <w:p w14:paraId="6BBF2DBD">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2025年2月，公司及下属子公司未新增对外担保。</w:t>
      </w:r>
    </w:p>
    <w:p w14:paraId="52309438">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（三）担保预计的实际发生情况</w:t>
      </w:r>
    </w:p>
    <w:p w14:paraId="3A6BE4F3">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截止2025年2月末，公司对外担保的实际发生情况如下：</w:t>
      </w:r>
    </w:p>
    <w:tbl>
      <w:tblPr>
        <w:tblStyle w:val="104"/>
        <w:tblW w:w="5157"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1041"/>
        <w:gridCol w:w="879"/>
        <w:gridCol w:w="1058"/>
        <w:gridCol w:w="1140"/>
        <w:gridCol w:w="1071"/>
        <w:gridCol w:w="1144"/>
        <w:gridCol w:w="658"/>
        <w:gridCol w:w="620"/>
      </w:tblGrid>
      <w:tr w14:paraId="5E253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956" w:type="dxa"/>
            <w:vAlign w:val="center"/>
          </w:tcPr>
          <w:p w14:paraId="1668ACD4">
            <w:pPr>
              <w:pStyle w:val="105"/>
              <w:jc w:val="center"/>
              <w:rPr>
                <w:rFonts w:hint="eastAsia" w:ascii="宋体" w:hAnsi="宋体" w:eastAsia="宋体"/>
                <w:b/>
                <w:bCs/>
                <w:sz w:val="21"/>
                <w:szCs w:val="21"/>
                <w:lang w:eastAsia="zh-CN"/>
              </w:rPr>
            </w:pPr>
            <w:r>
              <w:rPr>
                <w:rFonts w:hint="eastAsia" w:ascii="宋体" w:hAnsi="宋体" w:eastAsia="宋体"/>
                <w:b/>
                <w:bCs/>
                <w:sz w:val="21"/>
                <w:szCs w:val="21"/>
              </w:rPr>
              <w:t>担保</w:t>
            </w:r>
            <w:r>
              <w:rPr>
                <w:rFonts w:hint="eastAsia" w:ascii="宋体" w:hAnsi="宋体" w:eastAsia="宋体"/>
                <w:b/>
                <w:bCs/>
                <w:sz w:val="21"/>
                <w:szCs w:val="21"/>
                <w:lang w:eastAsia="zh-CN"/>
              </w:rPr>
              <w:t>方</w:t>
            </w:r>
          </w:p>
        </w:tc>
        <w:tc>
          <w:tcPr>
            <w:tcW w:w="1040" w:type="dxa"/>
            <w:vAlign w:val="center"/>
          </w:tcPr>
          <w:p w14:paraId="50EA1460">
            <w:pPr>
              <w:pStyle w:val="105"/>
              <w:jc w:val="center"/>
              <w:rPr>
                <w:rFonts w:hint="eastAsia" w:ascii="宋体" w:hAnsi="宋体" w:eastAsia="宋体"/>
                <w:b/>
                <w:bCs/>
                <w:sz w:val="21"/>
                <w:szCs w:val="21"/>
                <w:lang w:eastAsia="zh-CN"/>
              </w:rPr>
            </w:pPr>
            <w:r>
              <w:rPr>
                <w:rFonts w:hint="eastAsia" w:ascii="宋体" w:hAnsi="宋体" w:eastAsia="宋体"/>
                <w:b/>
                <w:bCs/>
                <w:sz w:val="21"/>
                <w:szCs w:val="21"/>
              </w:rPr>
              <w:t>被担保</w:t>
            </w:r>
            <w:r>
              <w:rPr>
                <w:rFonts w:hint="eastAsia" w:ascii="宋体" w:hAnsi="宋体" w:eastAsia="宋体"/>
                <w:b/>
                <w:bCs/>
                <w:sz w:val="21"/>
                <w:szCs w:val="21"/>
                <w:lang w:eastAsia="zh-CN"/>
              </w:rPr>
              <w:t>方</w:t>
            </w:r>
          </w:p>
        </w:tc>
        <w:tc>
          <w:tcPr>
            <w:tcW w:w="879" w:type="dxa"/>
            <w:vAlign w:val="center"/>
          </w:tcPr>
          <w:p w14:paraId="5F76ECB5">
            <w:pPr>
              <w:pStyle w:val="105"/>
              <w:jc w:val="center"/>
              <w:rPr>
                <w:rFonts w:hint="eastAsia" w:ascii="宋体" w:hAnsi="宋体" w:eastAsia="宋体"/>
                <w:b/>
                <w:bCs/>
                <w:sz w:val="21"/>
                <w:szCs w:val="21"/>
              </w:rPr>
            </w:pPr>
            <w:r>
              <w:rPr>
                <w:rFonts w:hint="eastAsia" w:ascii="宋体" w:hAnsi="宋体" w:eastAsia="宋体"/>
                <w:b/>
                <w:bCs/>
                <w:sz w:val="21"/>
                <w:szCs w:val="21"/>
              </w:rPr>
              <w:t>担保方持股比例</w:t>
            </w:r>
          </w:p>
        </w:tc>
        <w:tc>
          <w:tcPr>
            <w:tcW w:w="1057" w:type="dxa"/>
            <w:vAlign w:val="center"/>
          </w:tcPr>
          <w:p w14:paraId="59E1C193">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截止2024.09.30被担保方资产负债率</w:t>
            </w:r>
          </w:p>
        </w:tc>
        <w:tc>
          <w:tcPr>
            <w:tcW w:w="1139" w:type="dxa"/>
            <w:vAlign w:val="center"/>
          </w:tcPr>
          <w:p w14:paraId="61335F89">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2025年预计担保额度</w:t>
            </w:r>
          </w:p>
          <w:p w14:paraId="0B6ABA87">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（万元）</w:t>
            </w:r>
          </w:p>
        </w:tc>
        <w:tc>
          <w:tcPr>
            <w:tcW w:w="1070" w:type="dxa"/>
            <w:vAlign w:val="center"/>
          </w:tcPr>
          <w:p w14:paraId="2CDDCB38">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截至2025年2月末累计担保总额</w:t>
            </w:r>
          </w:p>
          <w:p w14:paraId="37383B46">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w:t>
            </w:r>
            <w:r>
              <w:rPr>
                <w:rFonts w:hint="eastAsia" w:ascii="宋体" w:hAnsi="宋体" w:eastAsia="宋体"/>
                <w:b/>
                <w:bCs/>
                <w:spacing w:val="-7"/>
                <w:sz w:val="21"/>
                <w:szCs w:val="21"/>
                <w:lang w:eastAsia="zh-CN"/>
              </w:rPr>
              <w:t>元）</w:t>
            </w:r>
          </w:p>
        </w:tc>
        <w:tc>
          <w:tcPr>
            <w:tcW w:w="1143" w:type="dxa"/>
            <w:vAlign w:val="center"/>
          </w:tcPr>
          <w:p w14:paraId="25E4629B">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截至2025年2月末担保余额</w:t>
            </w:r>
          </w:p>
          <w:p w14:paraId="3DDB86F6">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（万元）</w:t>
            </w:r>
          </w:p>
        </w:tc>
        <w:tc>
          <w:tcPr>
            <w:tcW w:w="658" w:type="dxa"/>
            <w:vAlign w:val="center"/>
          </w:tcPr>
          <w:p w14:paraId="3919B96B">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是否关联担保</w:t>
            </w:r>
          </w:p>
        </w:tc>
        <w:tc>
          <w:tcPr>
            <w:tcW w:w="619" w:type="dxa"/>
            <w:vAlign w:val="center"/>
          </w:tcPr>
          <w:p w14:paraId="32CFD9D3">
            <w:pPr>
              <w:pStyle w:val="105"/>
              <w:jc w:val="center"/>
              <w:rPr>
                <w:rFonts w:hint="eastAsia" w:ascii="宋体" w:hAnsi="宋体" w:eastAsia="宋体"/>
                <w:b/>
                <w:bCs/>
                <w:sz w:val="21"/>
                <w:szCs w:val="21"/>
              </w:rPr>
            </w:pPr>
            <w:r>
              <w:rPr>
                <w:rFonts w:hint="eastAsia" w:ascii="宋体" w:hAnsi="宋体" w:eastAsia="宋体"/>
                <w:b/>
                <w:bCs/>
                <w:sz w:val="21"/>
                <w:szCs w:val="21"/>
              </w:rPr>
              <w:t>是否有反担保</w:t>
            </w:r>
          </w:p>
        </w:tc>
      </w:tr>
      <w:tr w14:paraId="233CD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56" w:type="dxa"/>
            <w:vAlign w:val="center"/>
          </w:tcPr>
          <w:p w14:paraId="04C5B055">
            <w:pPr>
              <w:pStyle w:val="105"/>
              <w:jc w:val="center"/>
              <w:rPr>
                <w:rFonts w:hint="eastAsia" w:ascii="宋体" w:hAnsi="宋体" w:eastAsia="宋体"/>
                <w:sz w:val="21"/>
                <w:szCs w:val="21"/>
              </w:rPr>
            </w:pPr>
            <w:r>
              <w:rPr>
                <w:rFonts w:hint="eastAsia" w:ascii="宋体" w:hAnsi="宋体" w:eastAsia="宋体"/>
                <w:sz w:val="21"/>
                <w:szCs w:val="21"/>
              </w:rPr>
              <w:t>望变电气</w:t>
            </w:r>
          </w:p>
        </w:tc>
        <w:tc>
          <w:tcPr>
            <w:tcW w:w="1040" w:type="dxa"/>
            <w:vAlign w:val="center"/>
          </w:tcPr>
          <w:p w14:paraId="57C18943">
            <w:pPr>
              <w:pStyle w:val="105"/>
              <w:jc w:val="center"/>
              <w:rPr>
                <w:rFonts w:hint="eastAsia" w:ascii="宋体" w:hAnsi="宋体" w:eastAsia="宋体"/>
                <w:sz w:val="21"/>
                <w:szCs w:val="21"/>
              </w:rPr>
            </w:pPr>
            <w:r>
              <w:rPr>
                <w:rFonts w:hint="eastAsia" w:ascii="宋体" w:hAnsi="宋体" w:eastAsia="宋体"/>
                <w:sz w:val="21"/>
                <w:szCs w:val="21"/>
              </w:rPr>
              <w:t>黔南望江</w:t>
            </w:r>
          </w:p>
        </w:tc>
        <w:tc>
          <w:tcPr>
            <w:tcW w:w="879" w:type="dxa"/>
            <w:vAlign w:val="center"/>
          </w:tcPr>
          <w:p w14:paraId="4A7F08E9">
            <w:pPr>
              <w:pStyle w:val="105"/>
              <w:jc w:val="right"/>
              <w:rPr>
                <w:rFonts w:hint="eastAsia" w:ascii="宋体" w:hAnsi="宋体" w:eastAsia="宋体"/>
                <w:sz w:val="21"/>
                <w:szCs w:val="21"/>
              </w:rPr>
            </w:pPr>
            <w:r>
              <w:rPr>
                <w:rFonts w:hint="eastAsia" w:ascii="宋体" w:hAnsi="宋体" w:eastAsia="宋体"/>
                <w:sz w:val="21"/>
                <w:szCs w:val="21"/>
              </w:rPr>
              <w:t>100</w:t>
            </w:r>
            <w:r>
              <w:rPr>
                <w:rFonts w:hint="eastAsia" w:ascii="宋体" w:hAnsi="宋体" w:eastAsia="宋体"/>
                <w:sz w:val="21"/>
                <w:szCs w:val="21"/>
                <w:lang w:eastAsia="zh-CN"/>
              </w:rPr>
              <w:t>.00</w:t>
            </w:r>
            <w:r>
              <w:rPr>
                <w:rFonts w:hint="eastAsia" w:ascii="宋体" w:hAnsi="宋体" w:eastAsia="宋体"/>
                <w:sz w:val="21"/>
                <w:szCs w:val="21"/>
              </w:rPr>
              <w:t>%</w:t>
            </w:r>
          </w:p>
        </w:tc>
        <w:tc>
          <w:tcPr>
            <w:tcW w:w="1057" w:type="dxa"/>
            <w:vAlign w:val="center"/>
          </w:tcPr>
          <w:p w14:paraId="07B294D4">
            <w:pPr>
              <w:widowControl/>
              <w:jc w:val="right"/>
              <w:textAlignment w:val="center"/>
              <w:rPr>
                <w:rFonts w:hint="eastAsia" w:ascii="宋体" w:hAnsi="宋体"/>
                <w:szCs w:val="21"/>
              </w:rPr>
            </w:pPr>
            <w:r>
              <w:rPr>
                <w:rFonts w:hint="eastAsia" w:asciiTheme="minorEastAsia" w:hAnsiTheme="minorEastAsia" w:eastAsiaTheme="minorEastAsia" w:cstheme="minorEastAsia"/>
                <w:kern w:val="0"/>
                <w:sz w:val="20"/>
                <w:szCs w:val="20"/>
              </w:rPr>
              <w:t>77.25</w:t>
            </w:r>
            <w:r>
              <w:rPr>
                <w:rFonts w:hint="eastAsia" w:ascii="宋体" w:hAnsi="宋体" w:cs="宋体"/>
                <w:color w:val="000000"/>
                <w:kern w:val="0"/>
                <w:szCs w:val="21"/>
                <w:lang w:bidi="ar"/>
              </w:rPr>
              <w:t>%</w:t>
            </w:r>
          </w:p>
        </w:tc>
        <w:tc>
          <w:tcPr>
            <w:tcW w:w="1139" w:type="dxa"/>
            <w:vAlign w:val="center"/>
          </w:tcPr>
          <w:p w14:paraId="0B659174">
            <w:pPr>
              <w:pStyle w:val="105"/>
              <w:jc w:val="right"/>
              <w:rPr>
                <w:rFonts w:hint="eastAsia" w:ascii="宋体" w:hAnsi="宋体" w:eastAsia="宋体"/>
                <w:sz w:val="21"/>
                <w:szCs w:val="21"/>
                <w:lang w:eastAsia="zh-CN"/>
              </w:rPr>
            </w:pPr>
            <w:r>
              <w:rPr>
                <w:rFonts w:ascii="宋体" w:hAnsi="宋体" w:eastAsia="宋体"/>
                <w:sz w:val="21"/>
                <w:szCs w:val="21"/>
                <w:lang w:eastAsia="zh-CN"/>
              </w:rPr>
              <w:t>2</w:t>
            </w:r>
            <w:r>
              <w:rPr>
                <w:rFonts w:hint="eastAsia" w:ascii="宋体" w:hAnsi="宋体" w:eastAsia="宋体"/>
                <w:sz w:val="21"/>
                <w:szCs w:val="21"/>
                <w:lang w:eastAsia="zh-CN"/>
              </w:rPr>
              <w:t>0</w:t>
            </w:r>
            <w:r>
              <w:rPr>
                <w:rFonts w:ascii="宋体" w:hAnsi="宋体" w:eastAsia="宋体"/>
                <w:sz w:val="21"/>
                <w:szCs w:val="21"/>
                <w:lang w:eastAsia="zh-CN"/>
              </w:rPr>
              <w:t>,000</w:t>
            </w:r>
            <w:r>
              <w:rPr>
                <w:rFonts w:hint="eastAsia" w:ascii="宋体" w:hAnsi="宋体" w:eastAsia="宋体"/>
                <w:sz w:val="21"/>
                <w:szCs w:val="21"/>
                <w:lang w:eastAsia="zh-CN"/>
              </w:rPr>
              <w:t>.00</w:t>
            </w:r>
          </w:p>
        </w:tc>
        <w:tc>
          <w:tcPr>
            <w:tcW w:w="1070" w:type="dxa"/>
            <w:vAlign w:val="center"/>
          </w:tcPr>
          <w:p w14:paraId="52CD0D85">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11,000.00</w:t>
            </w:r>
          </w:p>
        </w:tc>
        <w:tc>
          <w:tcPr>
            <w:tcW w:w="1143" w:type="dxa"/>
            <w:vAlign w:val="center"/>
          </w:tcPr>
          <w:p w14:paraId="27A08C93">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 xml:space="preserve">4,411.59    </w:t>
            </w:r>
            <w:r>
              <w:rPr>
                <w:rFonts w:hint="eastAsia" w:ascii="宋体" w:hAnsi="宋体" w:eastAsia="宋体"/>
                <w:sz w:val="21"/>
                <w:szCs w:val="21"/>
              </w:rPr>
              <w:t xml:space="preserve"> </w:t>
            </w:r>
            <w:r>
              <w:rPr>
                <w:rFonts w:hint="eastAsia" w:ascii="宋体" w:hAnsi="宋体" w:eastAsia="宋体"/>
                <w:sz w:val="21"/>
                <w:szCs w:val="21"/>
                <w:lang w:eastAsia="zh-CN"/>
              </w:rPr>
              <w:t xml:space="preserve"> </w:t>
            </w:r>
          </w:p>
        </w:tc>
        <w:tc>
          <w:tcPr>
            <w:tcW w:w="658" w:type="dxa"/>
            <w:vAlign w:val="center"/>
          </w:tcPr>
          <w:p w14:paraId="71C673BA">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33994A37">
            <w:pPr>
              <w:pStyle w:val="105"/>
              <w:jc w:val="center"/>
              <w:rPr>
                <w:rFonts w:hint="eastAsia" w:ascii="宋体" w:hAnsi="宋体" w:eastAsia="宋体"/>
                <w:sz w:val="21"/>
                <w:szCs w:val="21"/>
              </w:rPr>
            </w:pPr>
            <w:r>
              <w:rPr>
                <w:rFonts w:hint="eastAsia" w:ascii="宋体" w:hAnsi="宋体" w:eastAsia="宋体"/>
                <w:sz w:val="21"/>
                <w:szCs w:val="21"/>
              </w:rPr>
              <w:t>否</w:t>
            </w:r>
          </w:p>
        </w:tc>
      </w:tr>
      <w:tr w14:paraId="52002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6" w:type="dxa"/>
            <w:vAlign w:val="center"/>
          </w:tcPr>
          <w:p w14:paraId="2ECE6951">
            <w:pPr>
              <w:pStyle w:val="105"/>
              <w:jc w:val="center"/>
              <w:rPr>
                <w:rFonts w:hint="eastAsia" w:ascii="宋体" w:hAnsi="宋体" w:eastAsia="宋体"/>
                <w:sz w:val="21"/>
                <w:szCs w:val="21"/>
              </w:rPr>
            </w:pPr>
            <w:r>
              <w:rPr>
                <w:rFonts w:hint="eastAsia" w:ascii="宋体" w:hAnsi="宋体" w:eastAsia="宋体"/>
                <w:sz w:val="21"/>
                <w:szCs w:val="21"/>
              </w:rPr>
              <w:t>望变电气</w:t>
            </w:r>
          </w:p>
        </w:tc>
        <w:tc>
          <w:tcPr>
            <w:tcW w:w="1040" w:type="dxa"/>
            <w:vAlign w:val="center"/>
          </w:tcPr>
          <w:p w14:paraId="74F8D397">
            <w:pPr>
              <w:widowControl/>
              <w:kinsoku w:val="0"/>
              <w:autoSpaceDE w:val="0"/>
              <w:autoSpaceDN w:val="0"/>
              <w:adjustRightInd w:val="0"/>
              <w:snapToGrid w:val="0"/>
              <w:spacing w:line="560" w:lineRule="exact"/>
              <w:jc w:val="center"/>
              <w:textAlignment w:val="baseline"/>
              <w:rPr>
                <w:rFonts w:hint="eastAsia" w:ascii="宋体" w:hAnsi="宋体" w:cs="宋体"/>
                <w:szCs w:val="21"/>
              </w:rPr>
            </w:pPr>
            <w:r>
              <w:rPr>
                <w:rFonts w:hint="eastAsia" w:ascii="宋体" w:hAnsi="宋体" w:cs="宋体"/>
                <w:spacing w:val="-1"/>
                <w:szCs w:val="21"/>
              </w:rPr>
              <w:t>云变电气</w:t>
            </w:r>
          </w:p>
        </w:tc>
        <w:tc>
          <w:tcPr>
            <w:tcW w:w="879" w:type="dxa"/>
            <w:vAlign w:val="center"/>
          </w:tcPr>
          <w:p w14:paraId="24D96DE6">
            <w:pPr>
              <w:pStyle w:val="105"/>
              <w:jc w:val="right"/>
              <w:rPr>
                <w:rFonts w:hint="eastAsia" w:ascii="宋体" w:hAnsi="宋体" w:eastAsia="宋体"/>
                <w:sz w:val="21"/>
                <w:szCs w:val="21"/>
              </w:rPr>
            </w:pPr>
            <w:r>
              <w:rPr>
                <w:rFonts w:ascii="宋体" w:hAnsi="宋体" w:eastAsia="宋体"/>
                <w:sz w:val="21"/>
                <w:szCs w:val="21"/>
              </w:rPr>
              <w:t>79.97%</w:t>
            </w:r>
          </w:p>
        </w:tc>
        <w:tc>
          <w:tcPr>
            <w:tcW w:w="1057" w:type="dxa"/>
            <w:vAlign w:val="center"/>
          </w:tcPr>
          <w:p w14:paraId="4FDADEB5">
            <w:pPr>
              <w:widowControl/>
              <w:jc w:val="right"/>
              <w:textAlignment w:val="center"/>
              <w:rPr>
                <w:rFonts w:hint="eastAsia" w:ascii="宋体" w:hAnsi="宋体"/>
                <w:szCs w:val="21"/>
              </w:rPr>
            </w:pPr>
            <w:r>
              <w:rPr>
                <w:rFonts w:hint="eastAsia" w:ascii="宋体" w:hAnsi="宋体" w:cs="宋体"/>
                <w:color w:val="000000"/>
                <w:kern w:val="0"/>
                <w:szCs w:val="21"/>
                <w:lang w:bidi="ar"/>
              </w:rPr>
              <w:t>56.95%</w:t>
            </w:r>
          </w:p>
        </w:tc>
        <w:tc>
          <w:tcPr>
            <w:tcW w:w="1139" w:type="dxa"/>
            <w:vAlign w:val="center"/>
          </w:tcPr>
          <w:p w14:paraId="730CCECF">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12</w:t>
            </w:r>
            <w:r>
              <w:rPr>
                <w:rFonts w:ascii="宋体" w:hAnsi="宋体" w:eastAsia="宋体"/>
                <w:sz w:val="21"/>
                <w:szCs w:val="21"/>
                <w:lang w:eastAsia="zh-CN"/>
              </w:rPr>
              <w:t>0,000</w:t>
            </w:r>
            <w:r>
              <w:rPr>
                <w:rFonts w:hint="eastAsia" w:ascii="宋体" w:hAnsi="宋体" w:eastAsia="宋体"/>
                <w:sz w:val="21"/>
                <w:szCs w:val="21"/>
                <w:lang w:eastAsia="zh-CN"/>
              </w:rPr>
              <w:t>.00</w:t>
            </w:r>
          </w:p>
        </w:tc>
        <w:tc>
          <w:tcPr>
            <w:tcW w:w="1070" w:type="dxa"/>
            <w:vAlign w:val="center"/>
          </w:tcPr>
          <w:p w14:paraId="1CFC3FCE">
            <w:pPr>
              <w:pStyle w:val="105"/>
              <w:jc w:val="right"/>
              <w:rPr>
                <w:rFonts w:hint="eastAsia" w:ascii="宋体" w:hAnsi="宋体" w:eastAsia="宋体"/>
                <w:sz w:val="21"/>
                <w:szCs w:val="21"/>
              </w:rPr>
            </w:pPr>
            <w:r>
              <w:rPr>
                <w:rFonts w:hint="eastAsia" w:ascii="宋体" w:hAnsi="宋体" w:eastAsia="宋体"/>
                <w:sz w:val="21"/>
                <w:szCs w:val="21"/>
                <w:lang w:eastAsia="zh-CN"/>
              </w:rPr>
              <w:t>35,5</w:t>
            </w:r>
            <w:r>
              <w:rPr>
                <w:rFonts w:hint="eastAsia" w:ascii="宋体" w:hAnsi="宋体" w:eastAsia="宋体"/>
                <w:sz w:val="21"/>
                <w:szCs w:val="21"/>
              </w:rPr>
              <w:t>00.00</w:t>
            </w:r>
          </w:p>
        </w:tc>
        <w:tc>
          <w:tcPr>
            <w:tcW w:w="1143" w:type="dxa"/>
            <w:vAlign w:val="center"/>
          </w:tcPr>
          <w:p w14:paraId="41833572">
            <w:pPr>
              <w:pStyle w:val="105"/>
              <w:jc w:val="right"/>
              <w:rPr>
                <w:rFonts w:hint="eastAsia" w:ascii="宋体" w:hAnsi="宋体" w:eastAsia="宋体"/>
                <w:sz w:val="21"/>
                <w:szCs w:val="21"/>
              </w:rPr>
            </w:pPr>
            <w:r>
              <w:rPr>
                <w:rFonts w:hint="eastAsia" w:ascii="宋体" w:hAnsi="宋体" w:eastAsia="宋体"/>
                <w:sz w:val="21"/>
                <w:szCs w:val="21"/>
                <w:lang w:eastAsia="zh-CN"/>
              </w:rPr>
              <w:t xml:space="preserve"> 22,128.17     </w:t>
            </w:r>
            <w:r>
              <w:rPr>
                <w:rFonts w:hint="eastAsia" w:ascii="宋体" w:hAnsi="宋体" w:eastAsia="宋体"/>
                <w:sz w:val="21"/>
                <w:szCs w:val="21"/>
              </w:rPr>
              <w:t xml:space="preserve"> </w:t>
            </w:r>
            <w:r>
              <w:rPr>
                <w:rFonts w:hint="eastAsia" w:ascii="宋体" w:hAnsi="宋体" w:eastAsia="宋体"/>
                <w:sz w:val="21"/>
                <w:szCs w:val="21"/>
                <w:lang w:eastAsia="zh-CN"/>
              </w:rPr>
              <w:t xml:space="preserve"> </w:t>
            </w:r>
          </w:p>
        </w:tc>
        <w:tc>
          <w:tcPr>
            <w:tcW w:w="658" w:type="dxa"/>
            <w:vAlign w:val="center"/>
          </w:tcPr>
          <w:p w14:paraId="74936808">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1DA49165">
            <w:pPr>
              <w:pStyle w:val="105"/>
              <w:jc w:val="center"/>
              <w:rPr>
                <w:rFonts w:hint="eastAsia" w:ascii="宋体" w:hAnsi="宋体" w:eastAsia="宋体"/>
                <w:sz w:val="21"/>
                <w:szCs w:val="21"/>
              </w:rPr>
            </w:pPr>
            <w:r>
              <w:rPr>
                <w:rFonts w:hint="eastAsia" w:ascii="宋体" w:hAnsi="宋体" w:eastAsia="宋体"/>
                <w:sz w:val="21"/>
                <w:szCs w:val="21"/>
              </w:rPr>
              <w:t>否</w:t>
            </w:r>
          </w:p>
        </w:tc>
      </w:tr>
      <w:tr w14:paraId="2679C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6" w:type="dxa"/>
            <w:vAlign w:val="center"/>
          </w:tcPr>
          <w:p w14:paraId="55078313">
            <w:pPr>
              <w:pStyle w:val="105"/>
              <w:jc w:val="center"/>
              <w:rPr>
                <w:rFonts w:hint="eastAsia" w:ascii="宋体" w:hAnsi="宋体" w:eastAsia="宋体"/>
                <w:sz w:val="21"/>
                <w:szCs w:val="21"/>
              </w:rPr>
            </w:pPr>
            <w:r>
              <w:rPr>
                <w:rFonts w:hint="eastAsia" w:ascii="宋体" w:hAnsi="宋体" w:eastAsia="宋体"/>
                <w:sz w:val="21"/>
                <w:szCs w:val="21"/>
                <w:lang w:eastAsia="zh-CN"/>
              </w:rPr>
              <w:t>望变电气</w:t>
            </w:r>
          </w:p>
        </w:tc>
        <w:tc>
          <w:tcPr>
            <w:tcW w:w="1040" w:type="dxa"/>
            <w:vAlign w:val="center"/>
          </w:tcPr>
          <w:p w14:paraId="4C80D43C">
            <w:pPr>
              <w:widowControl/>
              <w:kinsoku w:val="0"/>
              <w:autoSpaceDE w:val="0"/>
              <w:autoSpaceDN w:val="0"/>
              <w:adjustRightInd w:val="0"/>
              <w:snapToGrid w:val="0"/>
              <w:spacing w:line="560" w:lineRule="exact"/>
              <w:jc w:val="center"/>
              <w:textAlignment w:val="baseline"/>
              <w:rPr>
                <w:rFonts w:hint="eastAsia" w:ascii="宋体" w:hAnsi="宋体" w:cs="宋体"/>
                <w:spacing w:val="-1"/>
                <w:szCs w:val="21"/>
              </w:rPr>
            </w:pPr>
            <w:r>
              <w:rPr>
                <w:rFonts w:hint="eastAsia" w:ascii="宋体" w:hAnsi="宋体"/>
                <w:szCs w:val="21"/>
              </w:rPr>
              <w:t>惠泽电器</w:t>
            </w:r>
          </w:p>
        </w:tc>
        <w:tc>
          <w:tcPr>
            <w:tcW w:w="879" w:type="dxa"/>
            <w:vAlign w:val="center"/>
          </w:tcPr>
          <w:p w14:paraId="6937FDCE">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100.00%</w:t>
            </w:r>
          </w:p>
        </w:tc>
        <w:tc>
          <w:tcPr>
            <w:tcW w:w="1057" w:type="dxa"/>
            <w:vAlign w:val="center"/>
          </w:tcPr>
          <w:p w14:paraId="6E6C4A27">
            <w:pPr>
              <w:widowControl/>
              <w:jc w:val="right"/>
              <w:textAlignment w:val="center"/>
              <w:rPr>
                <w:rFonts w:hint="eastAsia" w:ascii="宋体" w:hAnsi="宋体"/>
                <w:szCs w:val="21"/>
              </w:rPr>
            </w:pPr>
            <w:r>
              <w:rPr>
                <w:rFonts w:hint="eastAsia" w:asciiTheme="minorEastAsia" w:hAnsiTheme="minorEastAsia" w:eastAsiaTheme="minorEastAsia" w:cstheme="minorEastAsia"/>
                <w:kern w:val="0"/>
                <w:sz w:val="20"/>
                <w:szCs w:val="20"/>
              </w:rPr>
              <w:t>93.73</w:t>
            </w:r>
            <w:r>
              <w:rPr>
                <w:rFonts w:hint="eastAsia" w:ascii="宋体" w:hAnsi="宋体" w:cs="宋体"/>
                <w:color w:val="000000"/>
                <w:kern w:val="0"/>
                <w:szCs w:val="21"/>
                <w:lang w:bidi="ar"/>
              </w:rPr>
              <w:t>%</w:t>
            </w:r>
          </w:p>
        </w:tc>
        <w:tc>
          <w:tcPr>
            <w:tcW w:w="1139" w:type="dxa"/>
            <w:vAlign w:val="center"/>
          </w:tcPr>
          <w:p w14:paraId="24B1EB89">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10,000.00</w:t>
            </w:r>
          </w:p>
        </w:tc>
        <w:tc>
          <w:tcPr>
            <w:tcW w:w="1070" w:type="dxa"/>
            <w:vAlign w:val="center"/>
          </w:tcPr>
          <w:p w14:paraId="488CB4A2">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0</w:t>
            </w:r>
          </w:p>
        </w:tc>
        <w:tc>
          <w:tcPr>
            <w:tcW w:w="1143" w:type="dxa"/>
            <w:vAlign w:val="center"/>
          </w:tcPr>
          <w:p w14:paraId="6B8B1D67">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 xml:space="preserve">0   </w:t>
            </w:r>
          </w:p>
        </w:tc>
        <w:tc>
          <w:tcPr>
            <w:tcW w:w="658" w:type="dxa"/>
            <w:vAlign w:val="center"/>
          </w:tcPr>
          <w:p w14:paraId="3AD566D8">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5EB1D662">
            <w:pPr>
              <w:pStyle w:val="105"/>
              <w:jc w:val="center"/>
              <w:rPr>
                <w:rFonts w:hint="eastAsia" w:ascii="宋体" w:hAnsi="宋体" w:eastAsia="宋体"/>
                <w:sz w:val="21"/>
                <w:szCs w:val="21"/>
              </w:rPr>
            </w:pPr>
            <w:r>
              <w:rPr>
                <w:rFonts w:hint="eastAsia" w:ascii="宋体" w:hAnsi="宋体" w:eastAsia="宋体"/>
                <w:sz w:val="21"/>
                <w:szCs w:val="21"/>
              </w:rPr>
              <w:t>否</w:t>
            </w:r>
          </w:p>
        </w:tc>
      </w:tr>
      <w:tr w14:paraId="21E58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96" w:type="dxa"/>
            <w:gridSpan w:val="2"/>
            <w:vAlign w:val="center"/>
          </w:tcPr>
          <w:p w14:paraId="76A10EEC">
            <w:pPr>
              <w:jc w:val="center"/>
              <w:rPr>
                <w:rFonts w:hint="eastAsia" w:ascii="宋体" w:hAnsi="宋体" w:cs="宋体"/>
                <w:b/>
                <w:bCs/>
                <w:szCs w:val="21"/>
              </w:rPr>
            </w:pPr>
            <w:r>
              <w:rPr>
                <w:rFonts w:hint="eastAsia" w:ascii="宋体" w:hAnsi="宋体" w:cs="宋体"/>
                <w:b/>
                <w:bCs/>
                <w:spacing w:val="-2"/>
                <w:szCs w:val="21"/>
              </w:rPr>
              <w:t>合计</w:t>
            </w:r>
          </w:p>
        </w:tc>
        <w:tc>
          <w:tcPr>
            <w:tcW w:w="879" w:type="dxa"/>
            <w:vAlign w:val="center"/>
          </w:tcPr>
          <w:p w14:paraId="7998FFD3">
            <w:pPr>
              <w:pStyle w:val="105"/>
              <w:jc w:val="right"/>
              <w:rPr>
                <w:rFonts w:hint="eastAsia" w:ascii="宋体" w:hAnsi="宋体" w:eastAsia="宋体"/>
                <w:b/>
                <w:bCs/>
                <w:sz w:val="21"/>
                <w:szCs w:val="21"/>
              </w:rPr>
            </w:pPr>
            <w:r>
              <w:rPr>
                <w:rFonts w:hint="eastAsia" w:ascii="宋体" w:hAnsi="宋体" w:eastAsia="宋体"/>
                <w:b/>
                <w:bCs/>
                <w:sz w:val="21"/>
                <w:szCs w:val="21"/>
                <w:lang w:eastAsia="zh-CN"/>
              </w:rPr>
              <w:t>—</w:t>
            </w:r>
          </w:p>
        </w:tc>
        <w:tc>
          <w:tcPr>
            <w:tcW w:w="1057" w:type="dxa"/>
            <w:vAlign w:val="center"/>
          </w:tcPr>
          <w:p w14:paraId="6C58A2D6">
            <w:pPr>
              <w:pStyle w:val="105"/>
              <w:jc w:val="right"/>
              <w:rPr>
                <w:rFonts w:hint="eastAsia" w:ascii="宋体" w:hAnsi="宋体" w:eastAsia="宋体"/>
                <w:b/>
                <w:bCs/>
                <w:sz w:val="21"/>
                <w:szCs w:val="21"/>
              </w:rPr>
            </w:pPr>
            <w:r>
              <w:rPr>
                <w:rFonts w:hint="eastAsia" w:ascii="宋体" w:hAnsi="宋体" w:eastAsia="宋体"/>
                <w:b/>
                <w:bCs/>
                <w:sz w:val="21"/>
                <w:szCs w:val="21"/>
                <w:lang w:eastAsia="zh-CN"/>
              </w:rPr>
              <w:t>—</w:t>
            </w:r>
          </w:p>
        </w:tc>
        <w:tc>
          <w:tcPr>
            <w:tcW w:w="1139" w:type="dxa"/>
            <w:vAlign w:val="center"/>
          </w:tcPr>
          <w:p w14:paraId="2C95AE29">
            <w:pPr>
              <w:pStyle w:val="105"/>
              <w:jc w:val="right"/>
              <w:rPr>
                <w:rFonts w:hint="eastAsia" w:ascii="宋体" w:hAnsi="宋体" w:eastAsia="宋体"/>
                <w:b/>
                <w:bCs/>
                <w:sz w:val="21"/>
                <w:szCs w:val="21"/>
                <w:lang w:eastAsia="zh-CN"/>
              </w:rPr>
            </w:pPr>
            <w:r>
              <w:rPr>
                <w:rFonts w:hint="eastAsia" w:ascii="宋体" w:hAnsi="宋体" w:eastAsia="宋体"/>
                <w:b/>
                <w:bCs/>
                <w:sz w:val="21"/>
                <w:szCs w:val="21"/>
                <w:lang w:eastAsia="zh-CN"/>
              </w:rPr>
              <w:t>150,000.00</w:t>
            </w:r>
          </w:p>
        </w:tc>
        <w:tc>
          <w:tcPr>
            <w:tcW w:w="1070" w:type="dxa"/>
            <w:vAlign w:val="center"/>
          </w:tcPr>
          <w:p w14:paraId="0D55A9F3">
            <w:pPr>
              <w:pStyle w:val="105"/>
              <w:jc w:val="right"/>
              <w:rPr>
                <w:rFonts w:hint="eastAsia" w:ascii="宋体" w:hAnsi="宋体" w:eastAsia="宋体"/>
                <w:b/>
                <w:bCs/>
                <w:sz w:val="21"/>
                <w:szCs w:val="21"/>
              </w:rPr>
            </w:pPr>
            <w:r>
              <w:rPr>
                <w:rFonts w:hint="eastAsia" w:ascii="宋体" w:hAnsi="宋体" w:eastAsia="宋体"/>
                <w:b/>
                <w:bCs/>
                <w:sz w:val="21"/>
                <w:szCs w:val="21"/>
                <w:lang w:eastAsia="zh-CN"/>
              </w:rPr>
              <w:t>46</w:t>
            </w:r>
            <w:r>
              <w:rPr>
                <w:rFonts w:hint="eastAsia" w:ascii="宋体" w:hAnsi="宋体" w:eastAsia="宋体"/>
                <w:b/>
                <w:bCs/>
                <w:sz w:val="21"/>
                <w:szCs w:val="21"/>
              </w:rPr>
              <w:t>,</w:t>
            </w:r>
            <w:r>
              <w:rPr>
                <w:rFonts w:hint="eastAsia" w:ascii="宋体" w:hAnsi="宋体" w:eastAsia="宋体"/>
                <w:b/>
                <w:bCs/>
                <w:sz w:val="21"/>
                <w:szCs w:val="21"/>
                <w:lang w:eastAsia="zh-CN"/>
              </w:rPr>
              <w:t>5</w:t>
            </w:r>
            <w:r>
              <w:rPr>
                <w:rFonts w:hint="eastAsia" w:ascii="宋体" w:hAnsi="宋体" w:eastAsia="宋体"/>
                <w:b/>
                <w:bCs/>
                <w:sz w:val="21"/>
                <w:szCs w:val="21"/>
              </w:rPr>
              <w:t>00.00</w:t>
            </w:r>
          </w:p>
        </w:tc>
        <w:tc>
          <w:tcPr>
            <w:tcW w:w="1143" w:type="dxa"/>
            <w:vAlign w:val="center"/>
          </w:tcPr>
          <w:p w14:paraId="783B9FD8">
            <w:pPr>
              <w:pStyle w:val="105"/>
              <w:jc w:val="right"/>
              <w:rPr>
                <w:rFonts w:hint="eastAsia" w:ascii="宋体" w:hAnsi="宋体" w:eastAsia="宋体"/>
                <w:b/>
                <w:bCs/>
                <w:sz w:val="21"/>
                <w:szCs w:val="21"/>
              </w:rPr>
            </w:pPr>
            <w:r>
              <w:rPr>
                <w:rFonts w:hint="eastAsia" w:ascii="宋体" w:hAnsi="宋体" w:eastAsia="宋体"/>
                <w:b/>
                <w:bCs/>
                <w:sz w:val="21"/>
                <w:szCs w:val="21"/>
                <w:lang w:eastAsia="zh-CN"/>
              </w:rPr>
              <w:t xml:space="preserve"> 26,539.76    </w:t>
            </w:r>
            <w:r>
              <w:rPr>
                <w:rFonts w:hint="eastAsia" w:ascii="宋体" w:hAnsi="宋体" w:eastAsia="宋体"/>
                <w:b/>
                <w:bCs/>
                <w:sz w:val="21"/>
                <w:szCs w:val="21"/>
              </w:rPr>
              <w:t xml:space="preserve"> </w:t>
            </w:r>
            <w:r>
              <w:rPr>
                <w:rFonts w:hint="eastAsia" w:ascii="宋体" w:hAnsi="宋体" w:eastAsia="宋体"/>
                <w:b/>
                <w:bCs/>
                <w:sz w:val="21"/>
                <w:szCs w:val="21"/>
                <w:lang w:eastAsia="zh-CN"/>
              </w:rPr>
              <w:t xml:space="preserve"> </w:t>
            </w:r>
          </w:p>
        </w:tc>
        <w:tc>
          <w:tcPr>
            <w:tcW w:w="658" w:type="dxa"/>
            <w:vAlign w:val="center"/>
          </w:tcPr>
          <w:p w14:paraId="2D65E95F">
            <w:pPr>
              <w:pStyle w:val="105"/>
              <w:jc w:val="right"/>
              <w:rPr>
                <w:rFonts w:hint="eastAsia" w:ascii="宋体" w:hAnsi="宋体" w:eastAsia="宋体"/>
                <w:b/>
                <w:bCs/>
                <w:sz w:val="21"/>
                <w:szCs w:val="21"/>
                <w:lang w:eastAsia="zh-CN"/>
              </w:rPr>
            </w:pPr>
            <w:r>
              <w:rPr>
                <w:rFonts w:hint="eastAsia" w:ascii="宋体" w:hAnsi="宋体" w:eastAsia="宋体"/>
                <w:b/>
                <w:bCs/>
                <w:sz w:val="21"/>
                <w:szCs w:val="21"/>
                <w:lang w:eastAsia="zh-CN"/>
              </w:rPr>
              <w:t>-</w:t>
            </w:r>
          </w:p>
        </w:tc>
        <w:tc>
          <w:tcPr>
            <w:tcW w:w="619" w:type="dxa"/>
            <w:vAlign w:val="center"/>
          </w:tcPr>
          <w:p w14:paraId="1B8D54A3">
            <w:pPr>
              <w:pStyle w:val="105"/>
              <w:jc w:val="right"/>
              <w:rPr>
                <w:rFonts w:hint="eastAsia" w:ascii="宋体" w:hAnsi="宋体" w:eastAsia="宋体"/>
                <w:b/>
                <w:bCs/>
                <w:sz w:val="21"/>
                <w:szCs w:val="21"/>
              </w:rPr>
            </w:pPr>
            <w:r>
              <w:rPr>
                <w:rFonts w:hint="eastAsia" w:ascii="宋体" w:hAnsi="宋体" w:eastAsia="宋体"/>
                <w:b/>
                <w:bCs/>
                <w:sz w:val="21"/>
                <w:szCs w:val="21"/>
              </w:rPr>
              <w:t>-</w:t>
            </w:r>
          </w:p>
        </w:tc>
      </w:tr>
    </w:tbl>
    <w:p w14:paraId="4F106CEB">
      <w:pPr>
        <w:tabs>
          <w:tab w:val="left" w:pos="3468"/>
        </w:tabs>
        <w:autoSpaceDE w:val="0"/>
        <w:autoSpaceDN w:val="0"/>
        <w:adjustRightInd w:val="0"/>
        <w:spacing w:before="159" w:beforeLines="50" w:line="360" w:lineRule="auto"/>
        <w:rPr>
          <w:rFonts w:hint="eastAsia" w:ascii="宋体" w:hAnsi="宋体" w:cs="宋体"/>
          <w:b/>
          <w:sz w:val="24"/>
          <w:szCs w:val="24"/>
        </w:rPr>
      </w:pPr>
      <w:r>
        <w:rPr>
          <w:rFonts w:hint="eastAsia" w:ascii="宋体" w:hAnsi="宋体" w:cs="宋体"/>
          <w:b/>
          <w:sz w:val="24"/>
          <w:szCs w:val="24"/>
        </w:rPr>
        <w:t>二、累计对外担保数量及逾期担保的数量</w:t>
      </w:r>
    </w:p>
    <w:p w14:paraId="591CD441">
      <w:pPr>
        <w:autoSpaceDE w:val="0"/>
        <w:autoSpaceDN w:val="0"/>
        <w:adjustRightInd w:val="0"/>
        <w:spacing w:before="159"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截至2025年2月末，公司对外担保均为对子公司的担保，累计担保总额为46,500.00万元，担保余额为26,539.76 万元，担保余额占公司最近一期经审计净资产的11.10%；不存在逾期担保。</w:t>
      </w:r>
    </w:p>
    <w:p w14:paraId="3DC7205B">
      <w:pPr>
        <w:autoSpaceDE w:val="0"/>
        <w:autoSpaceDN w:val="0"/>
        <w:adjustRightInd w:val="0"/>
        <w:spacing w:before="159"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截止2025年2月末，公司及子公司可用担保额度为140,000.00万元（包含惠泽电器10,000.00万元、黔南望江20,000.00万元和云变电气110,000.00万元），均为经公司2024年第三次临时股东会会议审议通过的2025年度担保额度。</w:t>
      </w:r>
    </w:p>
    <w:p w14:paraId="0781C32D">
      <w:pPr>
        <w:autoSpaceDE w:val="0"/>
        <w:autoSpaceDN w:val="0"/>
        <w:adjustRightInd w:val="0"/>
        <w:spacing w:before="159" w:beforeLines="50" w:line="360" w:lineRule="auto"/>
        <w:ind w:firstLine="480" w:firstLineChars="200"/>
        <w:rPr>
          <w:rFonts w:hint="eastAsia" w:ascii="宋体" w:hAnsi="宋体" w:cs="宋体"/>
          <w:b/>
          <w:sz w:val="24"/>
          <w:szCs w:val="24"/>
        </w:rPr>
      </w:pPr>
      <w:r>
        <w:rPr>
          <w:rFonts w:hint="eastAsia" w:ascii="宋体" w:hAnsi="宋体" w:cs="宋体"/>
          <w:kern w:val="0"/>
          <w:sz w:val="24"/>
          <w:szCs w:val="24"/>
        </w:rPr>
        <w:t>特此公告。</w:t>
      </w:r>
    </w:p>
    <w:p w14:paraId="2EDFB188">
      <w:pPr>
        <w:autoSpaceDE w:val="0"/>
        <w:autoSpaceDN w:val="0"/>
        <w:adjustRightInd w:val="0"/>
        <w:spacing w:line="560" w:lineRule="exact"/>
        <w:jc w:val="left"/>
        <w:rPr>
          <w:rFonts w:hint="eastAsia" w:ascii="宋体" w:hAnsi="宋体" w:cs="宋体"/>
          <w:kern w:val="0"/>
          <w:sz w:val="24"/>
          <w:szCs w:val="24"/>
        </w:rPr>
      </w:pPr>
    </w:p>
    <w:p w14:paraId="530905B0">
      <w:pPr>
        <w:adjustRightInd w:val="0"/>
        <w:snapToGrid w:val="0"/>
        <w:spacing w:line="560" w:lineRule="exact"/>
        <w:ind w:firstLine="480" w:firstLineChars="200"/>
        <w:jc w:val="right"/>
        <w:rPr>
          <w:rFonts w:hint="eastAsia" w:ascii="宋体" w:hAnsi="宋体"/>
          <w:sz w:val="24"/>
          <w:szCs w:val="24"/>
        </w:rPr>
      </w:pPr>
      <w:r>
        <w:rPr>
          <w:rFonts w:hint="eastAsia" w:ascii="宋体" w:hAnsi="宋体" w:cs="宋体"/>
          <w:kern w:val="0"/>
          <w:sz w:val="24"/>
          <w:szCs w:val="24"/>
        </w:rPr>
        <w:t>重庆望变电气（集团）</w:t>
      </w:r>
      <w:r>
        <w:rPr>
          <w:rFonts w:hint="eastAsia" w:ascii="宋体" w:hAnsi="宋体" w:cs="仿宋_GB2312"/>
          <w:sz w:val="24"/>
          <w:szCs w:val="24"/>
        </w:rPr>
        <w:t>股</w:t>
      </w:r>
      <w:r>
        <w:rPr>
          <w:rFonts w:hint="eastAsia" w:ascii="宋体" w:hAnsi="宋体"/>
          <w:sz w:val="24"/>
          <w:szCs w:val="24"/>
        </w:rPr>
        <w:t>份有限公司董事会</w:t>
      </w:r>
    </w:p>
    <w:p w14:paraId="408BD968">
      <w:pPr>
        <w:adjustRightInd w:val="0"/>
        <w:snapToGrid w:val="0"/>
        <w:spacing w:line="560" w:lineRule="exact"/>
        <w:ind w:firstLine="480" w:firstLineChars="200"/>
        <w:jc w:val="right"/>
        <w:rPr>
          <w:rFonts w:hint="eastAsia" w:ascii="宋体" w:hAnsi="宋体" w:cs="宋体"/>
          <w:kern w:val="0"/>
          <w:sz w:val="24"/>
          <w:szCs w:val="24"/>
        </w:rPr>
      </w:pPr>
      <w:r>
        <w:rPr>
          <w:rFonts w:ascii="宋体" w:hAnsi="宋体"/>
          <w:sz w:val="24"/>
          <w:szCs w:val="24"/>
        </w:rPr>
        <w:t>202</w:t>
      </w:r>
      <w:r>
        <w:rPr>
          <w:rFonts w:hint="eastAsia" w:ascii="宋体" w:hAnsi="宋体"/>
          <w:sz w:val="24"/>
          <w:szCs w:val="24"/>
        </w:rPr>
        <w:t>5年3月5日</w:t>
      </w:r>
    </w:p>
    <w:p w14:paraId="67A2A472">
      <w:pPr>
        <w:autoSpaceDE w:val="0"/>
        <w:autoSpaceDN w:val="0"/>
        <w:adjustRightInd w:val="0"/>
        <w:snapToGrid w:val="0"/>
        <w:spacing w:line="560" w:lineRule="exact"/>
        <w:ind w:firstLine="480" w:firstLineChars="200"/>
        <w:rPr>
          <w:rFonts w:hint="eastAsia" w:ascii="宋体" w:hAnsi="宋体" w:cs="宋体"/>
          <w:sz w:val="24"/>
          <w:szCs w:val="24"/>
        </w:rPr>
      </w:pPr>
    </w:p>
    <w:p w14:paraId="4CCB618B"/>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49F2DEA0">
        <w:pPr>
          <w:pStyle w:val="55"/>
          <w:jc w:val="center"/>
        </w:pPr>
        <w:r>
          <w:fldChar w:fldCharType="begin"/>
        </w:r>
        <w:r>
          <w:instrText xml:space="preserve"> PAGE   \* MERGEFORMAT </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04579"/>
    <w:multiLevelType w:val="singleLevel"/>
    <w:tmpl w:val="D5604579"/>
    <w:lvl w:ilvl="0" w:tentative="0">
      <w:start w:val="1"/>
      <w:numFmt w:val="bullet"/>
      <w:lvlText w:val=""/>
      <w:lvlJc w:val="left"/>
      <w:pPr>
        <w:ind w:left="420" w:hanging="420"/>
      </w:pPr>
      <w:rPr>
        <w:rFonts w:hint="default" w:ascii="Wingdings" w:hAnsi="Wingdings"/>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1">
    <w:nsid w:val="22712713"/>
    <w:multiLevelType w:val="singleLevel"/>
    <w:tmpl w:val="22712713"/>
    <w:lvl w:ilvl="0" w:tentative="0">
      <w:start w:val="1"/>
      <w:numFmt w:val="bullet"/>
      <w:pStyle w:val="94"/>
      <w:lvlText w:val=""/>
      <w:lvlJc w:val="left"/>
      <w:pPr>
        <w:ind w:left="420" w:hanging="420"/>
      </w:pPr>
      <w:rPr>
        <w:rFonts w:hint="default" w:ascii="Wingdings" w:hAnsi="Wingdings"/>
      </w:rPr>
    </w:lvl>
  </w:abstractNum>
  <w:abstractNum w:abstractNumId="12">
    <w:nsid w:val="655C0D75"/>
    <w:multiLevelType w:val="singleLevel"/>
    <w:tmpl w:val="655C0D75"/>
    <w:lvl w:ilvl="0" w:tentative="0">
      <w:start w:val="1"/>
      <w:numFmt w:val="chineseCounting"/>
      <w:suff w:val="nothing"/>
      <w:lvlText w:val="%1、"/>
      <w:lvlJc w:val="left"/>
      <w:rPr>
        <w:rFonts w:hint="eastAsia"/>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s>
  <w:rsids>
    <w:rsidRoot w:val="00BF2ECD"/>
    <w:rsid w:val="00000558"/>
    <w:rsid w:val="00000BC9"/>
    <w:rsid w:val="0000604D"/>
    <w:rsid w:val="00030B8F"/>
    <w:rsid w:val="000369D9"/>
    <w:rsid w:val="00037429"/>
    <w:rsid w:val="000434C6"/>
    <w:rsid w:val="00044B7A"/>
    <w:rsid w:val="000507FA"/>
    <w:rsid w:val="00050D8C"/>
    <w:rsid w:val="00051D15"/>
    <w:rsid w:val="00054EEE"/>
    <w:rsid w:val="00060DFA"/>
    <w:rsid w:val="00064333"/>
    <w:rsid w:val="000671F4"/>
    <w:rsid w:val="00070F49"/>
    <w:rsid w:val="0007156E"/>
    <w:rsid w:val="000764C3"/>
    <w:rsid w:val="00082408"/>
    <w:rsid w:val="00084C5D"/>
    <w:rsid w:val="00087F94"/>
    <w:rsid w:val="00095674"/>
    <w:rsid w:val="000A490B"/>
    <w:rsid w:val="000B677B"/>
    <w:rsid w:val="000E2AAC"/>
    <w:rsid w:val="000E3807"/>
    <w:rsid w:val="000E795D"/>
    <w:rsid w:val="00101EA2"/>
    <w:rsid w:val="00124FA5"/>
    <w:rsid w:val="00125C8C"/>
    <w:rsid w:val="00126188"/>
    <w:rsid w:val="001335CF"/>
    <w:rsid w:val="001368F4"/>
    <w:rsid w:val="001619B6"/>
    <w:rsid w:val="00161C50"/>
    <w:rsid w:val="001631B1"/>
    <w:rsid w:val="00177222"/>
    <w:rsid w:val="001903B0"/>
    <w:rsid w:val="001B5730"/>
    <w:rsid w:val="001C165F"/>
    <w:rsid w:val="001C235A"/>
    <w:rsid w:val="001C4707"/>
    <w:rsid w:val="001D0405"/>
    <w:rsid w:val="001D4B82"/>
    <w:rsid w:val="001E4E44"/>
    <w:rsid w:val="001E6FB1"/>
    <w:rsid w:val="001E7562"/>
    <w:rsid w:val="001F0293"/>
    <w:rsid w:val="001F3BAD"/>
    <w:rsid w:val="002032FC"/>
    <w:rsid w:val="002051AC"/>
    <w:rsid w:val="00207506"/>
    <w:rsid w:val="002114BE"/>
    <w:rsid w:val="00224E96"/>
    <w:rsid w:val="00246976"/>
    <w:rsid w:val="00266A7C"/>
    <w:rsid w:val="00272D61"/>
    <w:rsid w:val="00287610"/>
    <w:rsid w:val="002878A7"/>
    <w:rsid w:val="00294DFB"/>
    <w:rsid w:val="002B1A65"/>
    <w:rsid w:val="002B291C"/>
    <w:rsid w:val="002C32E2"/>
    <w:rsid w:val="002C3AF3"/>
    <w:rsid w:val="002C5387"/>
    <w:rsid w:val="002D6A43"/>
    <w:rsid w:val="002E2215"/>
    <w:rsid w:val="002F1340"/>
    <w:rsid w:val="002F33C4"/>
    <w:rsid w:val="002F4948"/>
    <w:rsid w:val="002F5CBD"/>
    <w:rsid w:val="002F6DC2"/>
    <w:rsid w:val="002F6FD5"/>
    <w:rsid w:val="0030115C"/>
    <w:rsid w:val="003051B5"/>
    <w:rsid w:val="003127EC"/>
    <w:rsid w:val="00313A26"/>
    <w:rsid w:val="00316757"/>
    <w:rsid w:val="00332636"/>
    <w:rsid w:val="00335DCA"/>
    <w:rsid w:val="00342251"/>
    <w:rsid w:val="00343F60"/>
    <w:rsid w:val="00347210"/>
    <w:rsid w:val="00352F3F"/>
    <w:rsid w:val="003A3C4B"/>
    <w:rsid w:val="003A4934"/>
    <w:rsid w:val="003A6877"/>
    <w:rsid w:val="003B5E5C"/>
    <w:rsid w:val="003C13ED"/>
    <w:rsid w:val="003C3E72"/>
    <w:rsid w:val="003D1D39"/>
    <w:rsid w:val="003D4987"/>
    <w:rsid w:val="003D500E"/>
    <w:rsid w:val="003E399E"/>
    <w:rsid w:val="003F26EB"/>
    <w:rsid w:val="004015D4"/>
    <w:rsid w:val="00404524"/>
    <w:rsid w:val="00412966"/>
    <w:rsid w:val="004166FA"/>
    <w:rsid w:val="00421FBB"/>
    <w:rsid w:val="00432414"/>
    <w:rsid w:val="004417CE"/>
    <w:rsid w:val="00455164"/>
    <w:rsid w:val="004617FD"/>
    <w:rsid w:val="00481530"/>
    <w:rsid w:val="004A27BC"/>
    <w:rsid w:val="004B6940"/>
    <w:rsid w:val="004C3D35"/>
    <w:rsid w:val="004E11B1"/>
    <w:rsid w:val="004F4D81"/>
    <w:rsid w:val="004F792E"/>
    <w:rsid w:val="00501890"/>
    <w:rsid w:val="0050197F"/>
    <w:rsid w:val="00507042"/>
    <w:rsid w:val="0052284A"/>
    <w:rsid w:val="0052751C"/>
    <w:rsid w:val="00527F05"/>
    <w:rsid w:val="005335E5"/>
    <w:rsid w:val="005555B7"/>
    <w:rsid w:val="005636E0"/>
    <w:rsid w:val="00563DEF"/>
    <w:rsid w:val="005700E6"/>
    <w:rsid w:val="005928B0"/>
    <w:rsid w:val="00593D94"/>
    <w:rsid w:val="005950D7"/>
    <w:rsid w:val="005A5697"/>
    <w:rsid w:val="005B06D0"/>
    <w:rsid w:val="005B1790"/>
    <w:rsid w:val="005B1CE9"/>
    <w:rsid w:val="005E015E"/>
    <w:rsid w:val="005E0D94"/>
    <w:rsid w:val="005F0BAA"/>
    <w:rsid w:val="006004F3"/>
    <w:rsid w:val="0061300F"/>
    <w:rsid w:val="0061302E"/>
    <w:rsid w:val="00616B8A"/>
    <w:rsid w:val="00621D2E"/>
    <w:rsid w:val="006227F4"/>
    <w:rsid w:val="00623320"/>
    <w:rsid w:val="006233E1"/>
    <w:rsid w:val="00631267"/>
    <w:rsid w:val="00636AA5"/>
    <w:rsid w:val="00641271"/>
    <w:rsid w:val="006414A6"/>
    <w:rsid w:val="00651E5A"/>
    <w:rsid w:val="00656B76"/>
    <w:rsid w:val="0065737B"/>
    <w:rsid w:val="0066648F"/>
    <w:rsid w:val="006754DD"/>
    <w:rsid w:val="00692CB8"/>
    <w:rsid w:val="006A782A"/>
    <w:rsid w:val="006B13DA"/>
    <w:rsid w:val="006B1B09"/>
    <w:rsid w:val="006B2315"/>
    <w:rsid w:val="006B45CE"/>
    <w:rsid w:val="006B4A91"/>
    <w:rsid w:val="006B6910"/>
    <w:rsid w:val="006C2D1F"/>
    <w:rsid w:val="006C312B"/>
    <w:rsid w:val="006C6811"/>
    <w:rsid w:val="006D1676"/>
    <w:rsid w:val="006D6459"/>
    <w:rsid w:val="007041A1"/>
    <w:rsid w:val="00713C80"/>
    <w:rsid w:val="00721749"/>
    <w:rsid w:val="007310E5"/>
    <w:rsid w:val="00732D11"/>
    <w:rsid w:val="0073774F"/>
    <w:rsid w:val="00740449"/>
    <w:rsid w:val="00745B5F"/>
    <w:rsid w:val="0075445C"/>
    <w:rsid w:val="0076073C"/>
    <w:rsid w:val="00776B0C"/>
    <w:rsid w:val="007946B0"/>
    <w:rsid w:val="00795307"/>
    <w:rsid w:val="007A42EC"/>
    <w:rsid w:val="007A54FF"/>
    <w:rsid w:val="007B4990"/>
    <w:rsid w:val="007C00D5"/>
    <w:rsid w:val="007C1F91"/>
    <w:rsid w:val="007C343C"/>
    <w:rsid w:val="007C655F"/>
    <w:rsid w:val="007D539C"/>
    <w:rsid w:val="007D7D45"/>
    <w:rsid w:val="007E7845"/>
    <w:rsid w:val="008026A0"/>
    <w:rsid w:val="00816C8F"/>
    <w:rsid w:val="00826B51"/>
    <w:rsid w:val="0083455D"/>
    <w:rsid w:val="00861F0B"/>
    <w:rsid w:val="008625FB"/>
    <w:rsid w:val="00866013"/>
    <w:rsid w:val="00885E01"/>
    <w:rsid w:val="00891EE8"/>
    <w:rsid w:val="008A06B7"/>
    <w:rsid w:val="008A12F9"/>
    <w:rsid w:val="008A76CD"/>
    <w:rsid w:val="008B360D"/>
    <w:rsid w:val="008B4652"/>
    <w:rsid w:val="008C75E8"/>
    <w:rsid w:val="008D10ED"/>
    <w:rsid w:val="008D7908"/>
    <w:rsid w:val="008D7D16"/>
    <w:rsid w:val="008E2FF0"/>
    <w:rsid w:val="008E77F9"/>
    <w:rsid w:val="008F3FFE"/>
    <w:rsid w:val="00904DB6"/>
    <w:rsid w:val="00906FA1"/>
    <w:rsid w:val="00912197"/>
    <w:rsid w:val="00913A1A"/>
    <w:rsid w:val="009238FB"/>
    <w:rsid w:val="009477DC"/>
    <w:rsid w:val="009536D8"/>
    <w:rsid w:val="00955454"/>
    <w:rsid w:val="0095561C"/>
    <w:rsid w:val="00955DC4"/>
    <w:rsid w:val="00960BDB"/>
    <w:rsid w:val="00962784"/>
    <w:rsid w:val="0096329B"/>
    <w:rsid w:val="0097194D"/>
    <w:rsid w:val="009752E9"/>
    <w:rsid w:val="00977420"/>
    <w:rsid w:val="0099027E"/>
    <w:rsid w:val="00992A41"/>
    <w:rsid w:val="009A242D"/>
    <w:rsid w:val="009A3EBC"/>
    <w:rsid w:val="009B605A"/>
    <w:rsid w:val="009C18AC"/>
    <w:rsid w:val="009C3379"/>
    <w:rsid w:val="00A06636"/>
    <w:rsid w:val="00A20224"/>
    <w:rsid w:val="00A317FA"/>
    <w:rsid w:val="00A369A9"/>
    <w:rsid w:val="00A4773A"/>
    <w:rsid w:val="00A50776"/>
    <w:rsid w:val="00A563BC"/>
    <w:rsid w:val="00A56BD4"/>
    <w:rsid w:val="00A750F9"/>
    <w:rsid w:val="00A80442"/>
    <w:rsid w:val="00A87F63"/>
    <w:rsid w:val="00A9108C"/>
    <w:rsid w:val="00AA1DF6"/>
    <w:rsid w:val="00AA36C5"/>
    <w:rsid w:val="00AC6182"/>
    <w:rsid w:val="00AD2992"/>
    <w:rsid w:val="00AD7080"/>
    <w:rsid w:val="00AE01A3"/>
    <w:rsid w:val="00AE3517"/>
    <w:rsid w:val="00AF4CB2"/>
    <w:rsid w:val="00B10348"/>
    <w:rsid w:val="00B10A2A"/>
    <w:rsid w:val="00B12308"/>
    <w:rsid w:val="00B13505"/>
    <w:rsid w:val="00B152B7"/>
    <w:rsid w:val="00B253D1"/>
    <w:rsid w:val="00B25554"/>
    <w:rsid w:val="00B3338B"/>
    <w:rsid w:val="00B35C9C"/>
    <w:rsid w:val="00B575AF"/>
    <w:rsid w:val="00B65460"/>
    <w:rsid w:val="00B656C4"/>
    <w:rsid w:val="00B66D7C"/>
    <w:rsid w:val="00B90010"/>
    <w:rsid w:val="00B96BB6"/>
    <w:rsid w:val="00BA03AD"/>
    <w:rsid w:val="00BC4BBB"/>
    <w:rsid w:val="00BD7901"/>
    <w:rsid w:val="00BE0431"/>
    <w:rsid w:val="00BE7AC6"/>
    <w:rsid w:val="00BF2ECD"/>
    <w:rsid w:val="00BF54FF"/>
    <w:rsid w:val="00C061F6"/>
    <w:rsid w:val="00C11467"/>
    <w:rsid w:val="00C11DBC"/>
    <w:rsid w:val="00C21159"/>
    <w:rsid w:val="00C2610B"/>
    <w:rsid w:val="00C321FA"/>
    <w:rsid w:val="00C335E9"/>
    <w:rsid w:val="00C37A23"/>
    <w:rsid w:val="00C5077D"/>
    <w:rsid w:val="00C515E8"/>
    <w:rsid w:val="00C55AA9"/>
    <w:rsid w:val="00C578DC"/>
    <w:rsid w:val="00C57B6A"/>
    <w:rsid w:val="00C61E56"/>
    <w:rsid w:val="00C64E83"/>
    <w:rsid w:val="00C67654"/>
    <w:rsid w:val="00C800AF"/>
    <w:rsid w:val="00C937A0"/>
    <w:rsid w:val="00CA5962"/>
    <w:rsid w:val="00CA5E22"/>
    <w:rsid w:val="00CC2A94"/>
    <w:rsid w:val="00CC6A06"/>
    <w:rsid w:val="00CD0630"/>
    <w:rsid w:val="00CE161A"/>
    <w:rsid w:val="00CE38B0"/>
    <w:rsid w:val="00CF157C"/>
    <w:rsid w:val="00D0021B"/>
    <w:rsid w:val="00D060E9"/>
    <w:rsid w:val="00D061EC"/>
    <w:rsid w:val="00D11AE5"/>
    <w:rsid w:val="00D12713"/>
    <w:rsid w:val="00D14999"/>
    <w:rsid w:val="00D16DF3"/>
    <w:rsid w:val="00D20476"/>
    <w:rsid w:val="00D348AE"/>
    <w:rsid w:val="00D36CEC"/>
    <w:rsid w:val="00D37022"/>
    <w:rsid w:val="00D40D5F"/>
    <w:rsid w:val="00D479B2"/>
    <w:rsid w:val="00D51495"/>
    <w:rsid w:val="00D516F9"/>
    <w:rsid w:val="00D6642E"/>
    <w:rsid w:val="00D706DA"/>
    <w:rsid w:val="00D94A43"/>
    <w:rsid w:val="00DA6BAB"/>
    <w:rsid w:val="00DB4349"/>
    <w:rsid w:val="00DD1465"/>
    <w:rsid w:val="00DD3A5B"/>
    <w:rsid w:val="00DD5D73"/>
    <w:rsid w:val="00DE0D68"/>
    <w:rsid w:val="00DE24A1"/>
    <w:rsid w:val="00DE2FB4"/>
    <w:rsid w:val="00E06561"/>
    <w:rsid w:val="00E153C6"/>
    <w:rsid w:val="00E1723F"/>
    <w:rsid w:val="00E2700A"/>
    <w:rsid w:val="00E313D8"/>
    <w:rsid w:val="00E35CC1"/>
    <w:rsid w:val="00E360F6"/>
    <w:rsid w:val="00E47DB7"/>
    <w:rsid w:val="00E50EF5"/>
    <w:rsid w:val="00E52836"/>
    <w:rsid w:val="00E54250"/>
    <w:rsid w:val="00E62DAF"/>
    <w:rsid w:val="00E927F8"/>
    <w:rsid w:val="00E92E43"/>
    <w:rsid w:val="00E97E71"/>
    <w:rsid w:val="00EA34E8"/>
    <w:rsid w:val="00EC5C5A"/>
    <w:rsid w:val="00ED0055"/>
    <w:rsid w:val="00ED2FD9"/>
    <w:rsid w:val="00EF138E"/>
    <w:rsid w:val="00EF74FD"/>
    <w:rsid w:val="00F16E07"/>
    <w:rsid w:val="00F2365C"/>
    <w:rsid w:val="00F57B5A"/>
    <w:rsid w:val="00F605B9"/>
    <w:rsid w:val="00F60665"/>
    <w:rsid w:val="00F65A6F"/>
    <w:rsid w:val="00F77490"/>
    <w:rsid w:val="00F84CFA"/>
    <w:rsid w:val="00F964CD"/>
    <w:rsid w:val="00F967B2"/>
    <w:rsid w:val="00FA1CAB"/>
    <w:rsid w:val="00FA54C0"/>
    <w:rsid w:val="00FD1980"/>
    <w:rsid w:val="00FE0712"/>
    <w:rsid w:val="01A21D3D"/>
    <w:rsid w:val="01B20EB9"/>
    <w:rsid w:val="01E50D53"/>
    <w:rsid w:val="01F821BD"/>
    <w:rsid w:val="02066364"/>
    <w:rsid w:val="02815CE9"/>
    <w:rsid w:val="03134C0F"/>
    <w:rsid w:val="032D4E3E"/>
    <w:rsid w:val="04012B21"/>
    <w:rsid w:val="048F7171"/>
    <w:rsid w:val="07312958"/>
    <w:rsid w:val="073B5BC9"/>
    <w:rsid w:val="07BE292C"/>
    <w:rsid w:val="07C65CA5"/>
    <w:rsid w:val="084C69BC"/>
    <w:rsid w:val="08514037"/>
    <w:rsid w:val="08CA2A7A"/>
    <w:rsid w:val="096251C7"/>
    <w:rsid w:val="0AD705E9"/>
    <w:rsid w:val="0AF50259"/>
    <w:rsid w:val="0B9C5BD8"/>
    <w:rsid w:val="0D8E4A70"/>
    <w:rsid w:val="0E470635"/>
    <w:rsid w:val="0EBC6E9B"/>
    <w:rsid w:val="0FDA2FF1"/>
    <w:rsid w:val="10C85995"/>
    <w:rsid w:val="11162CD7"/>
    <w:rsid w:val="11F04FB0"/>
    <w:rsid w:val="11FD41AB"/>
    <w:rsid w:val="136F6B4F"/>
    <w:rsid w:val="19857952"/>
    <w:rsid w:val="1A7D7C74"/>
    <w:rsid w:val="1DD957B9"/>
    <w:rsid w:val="1E79312C"/>
    <w:rsid w:val="20967991"/>
    <w:rsid w:val="213B1B76"/>
    <w:rsid w:val="215D435A"/>
    <w:rsid w:val="21A32B39"/>
    <w:rsid w:val="22237597"/>
    <w:rsid w:val="230A0721"/>
    <w:rsid w:val="23C35C66"/>
    <w:rsid w:val="24100647"/>
    <w:rsid w:val="24BC60E2"/>
    <w:rsid w:val="251B37E1"/>
    <w:rsid w:val="2615746A"/>
    <w:rsid w:val="26401ABD"/>
    <w:rsid w:val="264E6834"/>
    <w:rsid w:val="29173A50"/>
    <w:rsid w:val="29A05578"/>
    <w:rsid w:val="2AAC23F9"/>
    <w:rsid w:val="2B0D2CE4"/>
    <w:rsid w:val="2B693673"/>
    <w:rsid w:val="2C422599"/>
    <w:rsid w:val="2CCD15FB"/>
    <w:rsid w:val="2FB04883"/>
    <w:rsid w:val="309B0366"/>
    <w:rsid w:val="30FC41DF"/>
    <w:rsid w:val="343369E1"/>
    <w:rsid w:val="36372CA9"/>
    <w:rsid w:val="36C409BE"/>
    <w:rsid w:val="373D751E"/>
    <w:rsid w:val="381C2D1C"/>
    <w:rsid w:val="39E2569B"/>
    <w:rsid w:val="3A8D0F72"/>
    <w:rsid w:val="3A960DE3"/>
    <w:rsid w:val="3A9D4FCC"/>
    <w:rsid w:val="3BD46640"/>
    <w:rsid w:val="3C35413D"/>
    <w:rsid w:val="3C6F4907"/>
    <w:rsid w:val="3CF573AA"/>
    <w:rsid w:val="3D624079"/>
    <w:rsid w:val="3D631834"/>
    <w:rsid w:val="3EB91CF7"/>
    <w:rsid w:val="3F946AA7"/>
    <w:rsid w:val="3F9B1851"/>
    <w:rsid w:val="3FC47117"/>
    <w:rsid w:val="3FFBD36B"/>
    <w:rsid w:val="40F46B66"/>
    <w:rsid w:val="41076FBE"/>
    <w:rsid w:val="41084786"/>
    <w:rsid w:val="41110C42"/>
    <w:rsid w:val="41212946"/>
    <w:rsid w:val="41295BE0"/>
    <w:rsid w:val="41D45DF6"/>
    <w:rsid w:val="42275509"/>
    <w:rsid w:val="42D1600F"/>
    <w:rsid w:val="439C5700"/>
    <w:rsid w:val="45987F90"/>
    <w:rsid w:val="460F40D4"/>
    <w:rsid w:val="4611224F"/>
    <w:rsid w:val="4611554A"/>
    <w:rsid w:val="48695B04"/>
    <w:rsid w:val="49461F7F"/>
    <w:rsid w:val="499F1D78"/>
    <w:rsid w:val="4A2758B7"/>
    <w:rsid w:val="4A983129"/>
    <w:rsid w:val="4B376E07"/>
    <w:rsid w:val="4D556624"/>
    <w:rsid w:val="4EB26519"/>
    <w:rsid w:val="4F020FAD"/>
    <w:rsid w:val="4F095C75"/>
    <w:rsid w:val="50E43F8B"/>
    <w:rsid w:val="524C7FC2"/>
    <w:rsid w:val="52E00474"/>
    <w:rsid w:val="53202F13"/>
    <w:rsid w:val="543371DD"/>
    <w:rsid w:val="546F68B3"/>
    <w:rsid w:val="54FB7285"/>
    <w:rsid w:val="55800C5A"/>
    <w:rsid w:val="55845605"/>
    <w:rsid w:val="565D3A9C"/>
    <w:rsid w:val="57823100"/>
    <w:rsid w:val="57BB00D1"/>
    <w:rsid w:val="57C86637"/>
    <w:rsid w:val="58FF2EFF"/>
    <w:rsid w:val="5919171F"/>
    <w:rsid w:val="59531228"/>
    <w:rsid w:val="5BA66D99"/>
    <w:rsid w:val="5C7436E9"/>
    <w:rsid w:val="5C8255FD"/>
    <w:rsid w:val="5CEE2784"/>
    <w:rsid w:val="5D0E2A44"/>
    <w:rsid w:val="5EAF52F7"/>
    <w:rsid w:val="5EFC0458"/>
    <w:rsid w:val="5F7B6833"/>
    <w:rsid w:val="5FE3F82D"/>
    <w:rsid w:val="5FFD5624"/>
    <w:rsid w:val="611F29C3"/>
    <w:rsid w:val="61AD670E"/>
    <w:rsid w:val="620A112B"/>
    <w:rsid w:val="64787502"/>
    <w:rsid w:val="655C29BA"/>
    <w:rsid w:val="67253B4D"/>
    <w:rsid w:val="676705B3"/>
    <w:rsid w:val="67DC6589"/>
    <w:rsid w:val="68B22361"/>
    <w:rsid w:val="68F829FB"/>
    <w:rsid w:val="69D24BFB"/>
    <w:rsid w:val="6BE74894"/>
    <w:rsid w:val="6D41173A"/>
    <w:rsid w:val="6D657C9B"/>
    <w:rsid w:val="6EEE5B5B"/>
    <w:rsid w:val="6F2BFEC0"/>
    <w:rsid w:val="6F6946EC"/>
    <w:rsid w:val="6F8D7841"/>
    <w:rsid w:val="6F92035A"/>
    <w:rsid w:val="70182BA3"/>
    <w:rsid w:val="73733853"/>
    <w:rsid w:val="73A8198C"/>
    <w:rsid w:val="757F06CF"/>
    <w:rsid w:val="75865A4D"/>
    <w:rsid w:val="75B740CF"/>
    <w:rsid w:val="7636144B"/>
    <w:rsid w:val="76FF27BE"/>
    <w:rsid w:val="77E729E4"/>
    <w:rsid w:val="78624636"/>
    <w:rsid w:val="78852C26"/>
    <w:rsid w:val="794B6266"/>
    <w:rsid w:val="799A21AD"/>
    <w:rsid w:val="7A227FFF"/>
    <w:rsid w:val="7AC13A71"/>
    <w:rsid w:val="7B255AC8"/>
    <w:rsid w:val="7B87500D"/>
    <w:rsid w:val="7D5B007A"/>
    <w:rsid w:val="7D6864F7"/>
    <w:rsid w:val="7E0457F8"/>
    <w:rsid w:val="7E717EAD"/>
    <w:rsid w:val="7EA126C9"/>
    <w:rsid w:val="7EFD57C1"/>
    <w:rsid w:val="7F2351A1"/>
    <w:rsid w:val="7F93D619"/>
    <w:rsid w:val="7FE01AFA"/>
    <w:rsid w:val="8BFFE455"/>
    <w:rsid w:val="A4B35309"/>
    <w:rsid w:val="BEBE0E25"/>
    <w:rsid w:val="E5FB001E"/>
    <w:rsid w:val="EF5F0041"/>
    <w:rsid w:val="FDA7D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1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2"/>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1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4"/>
    <w:autoRedefine/>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15"/>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6"/>
    <w:autoRedefine/>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17"/>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8"/>
    <w:autoRedefine/>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23"/>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99"/>
    <w:pPr>
      <w:ind w:left="100" w:leftChars="400" w:hanging="200" w:hangingChars="200"/>
      <w:contextualSpacing/>
    </w:pPr>
  </w:style>
  <w:style w:type="paragraph" w:styleId="13">
    <w:name w:val="toc 7"/>
    <w:basedOn w:val="1"/>
    <w:next w:val="1"/>
    <w:autoRedefine/>
    <w:semiHidden/>
    <w:unhideWhenUsed/>
    <w:qFormat/>
    <w:uiPriority w:val="39"/>
    <w:pPr>
      <w:ind w:left="2520" w:leftChars="1200"/>
    </w:pPr>
  </w:style>
  <w:style w:type="paragraph" w:styleId="14">
    <w:name w:val="List Number 2"/>
    <w:basedOn w:val="1"/>
    <w:autoRedefine/>
    <w:semiHidden/>
    <w:unhideWhenUsed/>
    <w:qFormat/>
    <w:uiPriority w:val="99"/>
    <w:pPr>
      <w:numPr>
        <w:ilvl w:val="0"/>
        <w:numId w:val="1"/>
      </w:numPr>
      <w:contextualSpacing/>
    </w:pPr>
  </w:style>
  <w:style w:type="paragraph" w:styleId="15">
    <w:name w:val="table of authorities"/>
    <w:basedOn w:val="1"/>
    <w:next w:val="1"/>
    <w:autoRedefine/>
    <w:semiHidden/>
    <w:unhideWhenUsed/>
    <w:qFormat/>
    <w:uiPriority w:val="99"/>
    <w:pPr>
      <w:ind w:left="420" w:leftChars="200"/>
    </w:pPr>
  </w:style>
  <w:style w:type="paragraph" w:styleId="16">
    <w:name w:val="Note Heading"/>
    <w:basedOn w:val="1"/>
    <w:next w:val="1"/>
    <w:link w:val="145"/>
    <w:autoRedefine/>
    <w:semiHidden/>
    <w:unhideWhenUsed/>
    <w:qFormat/>
    <w:uiPriority w:val="99"/>
    <w:pPr>
      <w:jc w:val="center"/>
    </w:pPr>
  </w:style>
  <w:style w:type="paragraph" w:styleId="17">
    <w:name w:val="List Bullet 4"/>
    <w:basedOn w:val="1"/>
    <w:autoRedefine/>
    <w:semiHidden/>
    <w:unhideWhenUsed/>
    <w:qFormat/>
    <w:uiPriority w:val="99"/>
    <w:pPr>
      <w:numPr>
        <w:ilvl w:val="0"/>
        <w:numId w:val="2"/>
      </w:numPr>
      <w:contextualSpacing/>
    </w:pPr>
  </w:style>
  <w:style w:type="paragraph" w:styleId="18">
    <w:name w:val="index 8"/>
    <w:basedOn w:val="1"/>
    <w:next w:val="1"/>
    <w:autoRedefine/>
    <w:semiHidden/>
    <w:unhideWhenUsed/>
    <w:qFormat/>
    <w:uiPriority w:val="99"/>
    <w:pPr>
      <w:ind w:left="1400" w:leftChars="1400"/>
    </w:pPr>
  </w:style>
  <w:style w:type="paragraph" w:styleId="19">
    <w:name w:val="E-mail Signature"/>
    <w:basedOn w:val="1"/>
    <w:link w:val="121"/>
    <w:autoRedefine/>
    <w:semiHidden/>
    <w:unhideWhenUsed/>
    <w:qFormat/>
    <w:uiPriority w:val="99"/>
  </w:style>
  <w:style w:type="paragraph" w:styleId="20">
    <w:name w:val="List Number"/>
    <w:basedOn w:val="1"/>
    <w:autoRedefine/>
    <w:semiHidden/>
    <w:unhideWhenUsed/>
    <w:qFormat/>
    <w:uiPriority w:val="99"/>
    <w:pPr>
      <w:numPr>
        <w:ilvl w:val="0"/>
        <w:numId w:val="3"/>
      </w:numPr>
      <w:contextualSpacing/>
    </w:pPr>
  </w:style>
  <w:style w:type="paragraph" w:styleId="21">
    <w:name w:val="Normal Indent"/>
    <w:basedOn w:val="1"/>
    <w:autoRedefine/>
    <w:semiHidden/>
    <w:unhideWhenUsed/>
    <w:qFormat/>
    <w:uiPriority w:val="99"/>
    <w:pPr>
      <w:ind w:firstLine="420" w:firstLineChars="200"/>
    </w:pPr>
  </w:style>
  <w:style w:type="paragraph" w:styleId="22">
    <w:name w:val="caption"/>
    <w:basedOn w:val="1"/>
    <w:next w:val="1"/>
    <w:autoRedefine/>
    <w:semiHidden/>
    <w:unhideWhenUsed/>
    <w:qFormat/>
    <w:uiPriority w:val="35"/>
    <w:rPr>
      <w:rFonts w:eastAsia="黑体" w:asciiTheme="majorHAnsi" w:hAnsiTheme="majorHAnsi" w:cstheme="majorBidi"/>
      <w:sz w:val="20"/>
      <w:szCs w:val="20"/>
    </w:rPr>
  </w:style>
  <w:style w:type="paragraph" w:styleId="23">
    <w:name w:val="index 5"/>
    <w:basedOn w:val="1"/>
    <w:next w:val="1"/>
    <w:autoRedefine/>
    <w:semiHidden/>
    <w:unhideWhenUsed/>
    <w:qFormat/>
    <w:uiPriority w:val="99"/>
    <w:pPr>
      <w:ind w:left="800" w:leftChars="800"/>
    </w:pPr>
  </w:style>
  <w:style w:type="paragraph" w:styleId="24">
    <w:name w:val="List Bullet"/>
    <w:basedOn w:val="1"/>
    <w:autoRedefine/>
    <w:semiHidden/>
    <w:unhideWhenUsed/>
    <w:qFormat/>
    <w:uiPriority w:val="99"/>
    <w:pPr>
      <w:numPr>
        <w:ilvl w:val="0"/>
        <w:numId w:val="4"/>
      </w:numPr>
      <w:contextualSpacing/>
    </w:pPr>
  </w:style>
  <w:style w:type="paragraph" w:styleId="25">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32"/>
    <w:autoRedefine/>
    <w:semiHidden/>
    <w:unhideWhenUsed/>
    <w:qFormat/>
    <w:uiPriority w:val="99"/>
    <w:rPr>
      <w:rFonts w:ascii="Microsoft YaHei UI" w:eastAsia="Microsoft YaHei UI"/>
      <w:sz w:val="18"/>
      <w:szCs w:val="18"/>
    </w:rPr>
  </w:style>
  <w:style w:type="paragraph" w:styleId="27">
    <w:name w:val="toa heading"/>
    <w:basedOn w:val="1"/>
    <w:next w:val="1"/>
    <w:autoRedefine/>
    <w:semiHidden/>
    <w:unhideWhenUsed/>
    <w:qFormat/>
    <w:uiPriority w:val="99"/>
    <w:pPr>
      <w:spacing w:before="120"/>
    </w:pPr>
    <w:rPr>
      <w:rFonts w:asciiTheme="majorHAnsi" w:hAnsiTheme="majorHAnsi" w:eastAsiaTheme="majorEastAsia" w:cstheme="majorBidi"/>
      <w:sz w:val="24"/>
      <w:szCs w:val="24"/>
    </w:rPr>
  </w:style>
  <w:style w:type="paragraph" w:styleId="28">
    <w:name w:val="annotation text"/>
    <w:basedOn w:val="1"/>
    <w:link w:val="99"/>
    <w:autoRedefine/>
    <w:unhideWhenUsed/>
    <w:qFormat/>
    <w:uiPriority w:val="0"/>
    <w:pPr>
      <w:jc w:val="left"/>
    </w:pPr>
  </w:style>
  <w:style w:type="paragraph" w:styleId="29">
    <w:name w:val="index 6"/>
    <w:basedOn w:val="1"/>
    <w:next w:val="1"/>
    <w:autoRedefine/>
    <w:semiHidden/>
    <w:unhideWhenUsed/>
    <w:qFormat/>
    <w:uiPriority w:val="99"/>
    <w:pPr>
      <w:ind w:left="1000" w:leftChars="1000"/>
    </w:pPr>
  </w:style>
  <w:style w:type="paragraph" w:styleId="30">
    <w:name w:val="Salutation"/>
    <w:basedOn w:val="1"/>
    <w:next w:val="1"/>
    <w:link w:val="119"/>
    <w:autoRedefine/>
    <w:semiHidden/>
    <w:unhideWhenUsed/>
    <w:qFormat/>
    <w:uiPriority w:val="99"/>
  </w:style>
  <w:style w:type="paragraph" w:styleId="31">
    <w:name w:val="Body Text 3"/>
    <w:basedOn w:val="1"/>
    <w:link w:val="138"/>
    <w:autoRedefine/>
    <w:semiHidden/>
    <w:unhideWhenUsed/>
    <w:qFormat/>
    <w:uiPriority w:val="99"/>
    <w:pPr>
      <w:spacing w:after="120"/>
    </w:pPr>
    <w:rPr>
      <w:sz w:val="16"/>
      <w:szCs w:val="16"/>
    </w:rPr>
  </w:style>
  <w:style w:type="paragraph" w:styleId="32">
    <w:name w:val="Closing"/>
    <w:basedOn w:val="1"/>
    <w:link w:val="125"/>
    <w:autoRedefine/>
    <w:semiHidden/>
    <w:unhideWhenUsed/>
    <w:qFormat/>
    <w:uiPriority w:val="99"/>
    <w:pPr>
      <w:ind w:left="100" w:leftChars="2100"/>
    </w:pPr>
  </w:style>
  <w:style w:type="paragraph" w:styleId="33">
    <w:name w:val="List Bullet 3"/>
    <w:basedOn w:val="1"/>
    <w:autoRedefine/>
    <w:semiHidden/>
    <w:unhideWhenUsed/>
    <w:qFormat/>
    <w:uiPriority w:val="99"/>
    <w:pPr>
      <w:numPr>
        <w:ilvl w:val="0"/>
        <w:numId w:val="5"/>
      </w:numPr>
      <w:contextualSpacing/>
    </w:pPr>
  </w:style>
  <w:style w:type="paragraph" w:styleId="34">
    <w:name w:val="Body Text"/>
    <w:basedOn w:val="1"/>
    <w:link w:val="139"/>
    <w:autoRedefine/>
    <w:semiHidden/>
    <w:qFormat/>
    <w:uiPriority w:val="0"/>
    <w:rPr>
      <w:rFonts w:ascii="宋体" w:hAnsi="宋体" w:cs="宋体"/>
      <w:sz w:val="35"/>
      <w:szCs w:val="35"/>
      <w:lang w:eastAsia="en-US"/>
    </w:rPr>
  </w:style>
  <w:style w:type="paragraph" w:styleId="35">
    <w:name w:val="Body Text Indent"/>
    <w:basedOn w:val="1"/>
    <w:link w:val="141"/>
    <w:autoRedefine/>
    <w:semiHidden/>
    <w:unhideWhenUsed/>
    <w:qFormat/>
    <w:uiPriority w:val="99"/>
    <w:pPr>
      <w:spacing w:after="120"/>
      <w:ind w:left="420" w:leftChars="200"/>
    </w:pPr>
  </w:style>
  <w:style w:type="paragraph" w:styleId="36">
    <w:name w:val="List Number 3"/>
    <w:basedOn w:val="1"/>
    <w:autoRedefine/>
    <w:semiHidden/>
    <w:unhideWhenUsed/>
    <w:qFormat/>
    <w:uiPriority w:val="99"/>
    <w:pPr>
      <w:numPr>
        <w:ilvl w:val="0"/>
        <w:numId w:val="6"/>
      </w:numPr>
      <w:contextualSpacing/>
    </w:pPr>
  </w:style>
  <w:style w:type="paragraph" w:styleId="37">
    <w:name w:val="List 2"/>
    <w:basedOn w:val="1"/>
    <w:autoRedefine/>
    <w:semiHidden/>
    <w:unhideWhenUsed/>
    <w:qFormat/>
    <w:uiPriority w:val="99"/>
    <w:pPr>
      <w:ind w:left="100" w:leftChars="200" w:hanging="200" w:hangingChars="200"/>
      <w:contextualSpacing/>
    </w:pPr>
  </w:style>
  <w:style w:type="paragraph" w:styleId="38">
    <w:name w:val="List Continue"/>
    <w:basedOn w:val="1"/>
    <w:autoRedefine/>
    <w:semiHidden/>
    <w:unhideWhenUsed/>
    <w:qFormat/>
    <w:uiPriority w:val="99"/>
    <w:pPr>
      <w:spacing w:after="120"/>
      <w:ind w:left="420" w:leftChars="200"/>
      <w:contextualSpacing/>
    </w:pPr>
  </w:style>
  <w:style w:type="paragraph" w:styleId="39">
    <w:name w:val="Block Text"/>
    <w:basedOn w:val="1"/>
    <w:autoRedefine/>
    <w:semiHidden/>
    <w:unhideWhenUsed/>
    <w:qFormat/>
    <w:uiPriority w:val="99"/>
    <w:pPr>
      <w:spacing w:after="120"/>
      <w:ind w:left="1440" w:leftChars="700" w:right="1440" w:rightChars="700"/>
    </w:pPr>
  </w:style>
  <w:style w:type="paragraph" w:styleId="40">
    <w:name w:val="List Bullet 2"/>
    <w:basedOn w:val="1"/>
    <w:autoRedefine/>
    <w:semiHidden/>
    <w:unhideWhenUsed/>
    <w:qFormat/>
    <w:uiPriority w:val="99"/>
    <w:pPr>
      <w:numPr>
        <w:ilvl w:val="0"/>
        <w:numId w:val="7"/>
      </w:numPr>
      <w:contextualSpacing/>
    </w:pPr>
  </w:style>
  <w:style w:type="paragraph" w:styleId="41">
    <w:name w:val="HTML Address"/>
    <w:basedOn w:val="1"/>
    <w:link w:val="106"/>
    <w:autoRedefine/>
    <w:semiHidden/>
    <w:unhideWhenUsed/>
    <w:qFormat/>
    <w:uiPriority w:val="99"/>
    <w:rPr>
      <w:i/>
      <w:iCs/>
    </w:rPr>
  </w:style>
  <w:style w:type="paragraph" w:styleId="42">
    <w:name w:val="index 4"/>
    <w:basedOn w:val="1"/>
    <w:next w:val="1"/>
    <w:autoRedefine/>
    <w:semiHidden/>
    <w:unhideWhenUsed/>
    <w:qFormat/>
    <w:uiPriority w:val="99"/>
    <w:pPr>
      <w:ind w:left="600" w:leftChars="600"/>
    </w:pPr>
  </w:style>
  <w:style w:type="paragraph" w:styleId="43">
    <w:name w:val="toc 5"/>
    <w:basedOn w:val="1"/>
    <w:next w:val="1"/>
    <w:autoRedefine/>
    <w:semiHidden/>
    <w:unhideWhenUsed/>
    <w:qFormat/>
    <w:uiPriority w:val="39"/>
    <w:pPr>
      <w:ind w:left="1680" w:leftChars="800"/>
    </w:pPr>
  </w:style>
  <w:style w:type="paragraph" w:styleId="44">
    <w:name w:val="toc 3"/>
    <w:basedOn w:val="1"/>
    <w:next w:val="1"/>
    <w:autoRedefine/>
    <w:semiHidden/>
    <w:unhideWhenUsed/>
    <w:qFormat/>
    <w:uiPriority w:val="39"/>
    <w:pPr>
      <w:ind w:left="840" w:leftChars="400"/>
    </w:pPr>
  </w:style>
  <w:style w:type="paragraph" w:styleId="45">
    <w:name w:val="Plain Text"/>
    <w:basedOn w:val="1"/>
    <w:link w:val="120"/>
    <w:autoRedefine/>
    <w:semiHidden/>
    <w:unhideWhenUsed/>
    <w:qFormat/>
    <w:uiPriority w:val="99"/>
    <w:rPr>
      <w:rFonts w:hAnsi="Courier New" w:cs="Courier New" w:asciiTheme="minorEastAsia" w:eastAsiaTheme="minorEastAsia"/>
    </w:rPr>
  </w:style>
  <w:style w:type="paragraph" w:styleId="46">
    <w:name w:val="List Bullet 5"/>
    <w:basedOn w:val="1"/>
    <w:autoRedefine/>
    <w:semiHidden/>
    <w:unhideWhenUsed/>
    <w:qFormat/>
    <w:uiPriority w:val="99"/>
    <w:pPr>
      <w:numPr>
        <w:ilvl w:val="0"/>
        <w:numId w:val="8"/>
      </w:numPr>
      <w:contextualSpacing/>
    </w:pPr>
  </w:style>
  <w:style w:type="paragraph" w:styleId="47">
    <w:name w:val="List Number 4"/>
    <w:basedOn w:val="1"/>
    <w:autoRedefine/>
    <w:semiHidden/>
    <w:unhideWhenUsed/>
    <w:qFormat/>
    <w:uiPriority w:val="99"/>
    <w:pPr>
      <w:numPr>
        <w:ilvl w:val="0"/>
        <w:numId w:val="9"/>
      </w:numPr>
      <w:contextualSpacing/>
    </w:pPr>
  </w:style>
  <w:style w:type="paragraph" w:styleId="48">
    <w:name w:val="toc 8"/>
    <w:basedOn w:val="1"/>
    <w:next w:val="1"/>
    <w:autoRedefine/>
    <w:semiHidden/>
    <w:unhideWhenUsed/>
    <w:qFormat/>
    <w:uiPriority w:val="39"/>
    <w:pPr>
      <w:ind w:left="2940" w:leftChars="1400"/>
    </w:pPr>
  </w:style>
  <w:style w:type="paragraph" w:styleId="49">
    <w:name w:val="index 3"/>
    <w:basedOn w:val="1"/>
    <w:next w:val="1"/>
    <w:autoRedefine/>
    <w:semiHidden/>
    <w:unhideWhenUsed/>
    <w:qFormat/>
    <w:uiPriority w:val="99"/>
    <w:pPr>
      <w:ind w:left="400" w:leftChars="400"/>
    </w:pPr>
  </w:style>
  <w:style w:type="paragraph" w:styleId="50">
    <w:name w:val="Date"/>
    <w:basedOn w:val="1"/>
    <w:next w:val="1"/>
    <w:link w:val="129"/>
    <w:autoRedefine/>
    <w:semiHidden/>
    <w:unhideWhenUsed/>
    <w:qFormat/>
    <w:uiPriority w:val="99"/>
    <w:pPr>
      <w:ind w:left="100" w:leftChars="2500"/>
    </w:pPr>
  </w:style>
  <w:style w:type="paragraph" w:styleId="51">
    <w:name w:val="Body Text Indent 2"/>
    <w:basedOn w:val="1"/>
    <w:link w:val="143"/>
    <w:autoRedefine/>
    <w:semiHidden/>
    <w:unhideWhenUsed/>
    <w:qFormat/>
    <w:uiPriority w:val="99"/>
    <w:pPr>
      <w:spacing w:after="120" w:line="480" w:lineRule="auto"/>
      <w:ind w:left="420" w:leftChars="200"/>
    </w:pPr>
  </w:style>
  <w:style w:type="paragraph" w:styleId="52">
    <w:name w:val="endnote text"/>
    <w:basedOn w:val="1"/>
    <w:link w:val="131"/>
    <w:autoRedefine/>
    <w:semiHidden/>
    <w:unhideWhenUsed/>
    <w:qFormat/>
    <w:uiPriority w:val="99"/>
    <w:pPr>
      <w:snapToGrid w:val="0"/>
      <w:jc w:val="left"/>
    </w:pPr>
  </w:style>
  <w:style w:type="paragraph" w:styleId="53">
    <w:name w:val="List Continue 5"/>
    <w:basedOn w:val="1"/>
    <w:autoRedefine/>
    <w:semiHidden/>
    <w:unhideWhenUsed/>
    <w:qFormat/>
    <w:uiPriority w:val="99"/>
    <w:pPr>
      <w:spacing w:after="120"/>
      <w:ind w:left="2100" w:leftChars="1000"/>
      <w:contextualSpacing/>
    </w:pPr>
  </w:style>
  <w:style w:type="paragraph" w:styleId="54">
    <w:name w:val="Balloon Text"/>
    <w:basedOn w:val="1"/>
    <w:link w:val="96"/>
    <w:autoRedefine/>
    <w:unhideWhenUsed/>
    <w:qFormat/>
    <w:uiPriority w:val="99"/>
    <w:rPr>
      <w:sz w:val="18"/>
      <w:szCs w:val="18"/>
    </w:rPr>
  </w:style>
  <w:style w:type="paragraph" w:styleId="55">
    <w:name w:val="footer"/>
    <w:basedOn w:val="1"/>
    <w:link w:val="93"/>
    <w:autoRedefine/>
    <w:unhideWhenUsed/>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57">
    <w:name w:val="header"/>
    <w:basedOn w:val="1"/>
    <w:link w:val="9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8"/>
    <w:autoRedefine/>
    <w:semiHidden/>
    <w:unhideWhenUsed/>
    <w:qFormat/>
    <w:uiPriority w:val="99"/>
    <w:pPr>
      <w:ind w:left="100" w:leftChars="2100"/>
    </w:pPr>
  </w:style>
  <w:style w:type="paragraph" w:styleId="59">
    <w:name w:val="toc 1"/>
    <w:basedOn w:val="1"/>
    <w:next w:val="1"/>
    <w:autoRedefine/>
    <w:semiHidden/>
    <w:unhideWhenUsed/>
    <w:qFormat/>
    <w:uiPriority w:val="39"/>
  </w:style>
  <w:style w:type="paragraph" w:styleId="60">
    <w:name w:val="List Continue 4"/>
    <w:basedOn w:val="1"/>
    <w:autoRedefine/>
    <w:semiHidden/>
    <w:unhideWhenUsed/>
    <w:qFormat/>
    <w:uiPriority w:val="99"/>
    <w:pPr>
      <w:spacing w:after="120"/>
      <w:ind w:left="1680" w:leftChars="800"/>
      <w:contextualSpacing/>
    </w:pPr>
  </w:style>
  <w:style w:type="paragraph" w:styleId="61">
    <w:name w:val="toc 4"/>
    <w:basedOn w:val="1"/>
    <w:next w:val="1"/>
    <w:autoRedefine/>
    <w:semiHidden/>
    <w:unhideWhenUsed/>
    <w:qFormat/>
    <w:uiPriority w:val="39"/>
    <w:pPr>
      <w:ind w:left="1260" w:leftChars="600"/>
    </w:pPr>
  </w:style>
  <w:style w:type="paragraph" w:styleId="62">
    <w:name w:val="index heading"/>
    <w:basedOn w:val="1"/>
    <w:next w:val="63"/>
    <w:autoRedefine/>
    <w:semiHidden/>
    <w:unhideWhenUsed/>
    <w:qFormat/>
    <w:uiPriority w:val="99"/>
    <w:rPr>
      <w:rFonts w:asciiTheme="majorHAnsi" w:hAnsiTheme="majorHAnsi" w:eastAsiaTheme="majorEastAsia" w:cstheme="majorBidi"/>
      <w:b/>
      <w:bCs/>
    </w:rPr>
  </w:style>
  <w:style w:type="paragraph" w:styleId="63">
    <w:name w:val="index 1"/>
    <w:basedOn w:val="1"/>
    <w:next w:val="1"/>
    <w:autoRedefine/>
    <w:semiHidden/>
    <w:unhideWhenUsed/>
    <w:qFormat/>
    <w:uiPriority w:val="99"/>
  </w:style>
  <w:style w:type="paragraph" w:styleId="64">
    <w:name w:val="Subtitle"/>
    <w:basedOn w:val="1"/>
    <w:next w:val="1"/>
    <w:link w:val="122"/>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5">
    <w:name w:val="List Number 5"/>
    <w:basedOn w:val="1"/>
    <w:autoRedefine/>
    <w:semiHidden/>
    <w:unhideWhenUsed/>
    <w:qFormat/>
    <w:uiPriority w:val="99"/>
    <w:pPr>
      <w:numPr>
        <w:ilvl w:val="0"/>
        <w:numId w:val="10"/>
      </w:numPr>
      <w:contextualSpacing/>
    </w:pPr>
  </w:style>
  <w:style w:type="paragraph" w:styleId="66">
    <w:name w:val="List"/>
    <w:basedOn w:val="1"/>
    <w:autoRedefine/>
    <w:semiHidden/>
    <w:unhideWhenUsed/>
    <w:qFormat/>
    <w:uiPriority w:val="99"/>
    <w:pPr>
      <w:ind w:left="200" w:hanging="200" w:hangingChars="200"/>
      <w:contextualSpacing/>
    </w:pPr>
  </w:style>
  <w:style w:type="paragraph" w:styleId="67">
    <w:name w:val="footnote text"/>
    <w:basedOn w:val="1"/>
    <w:link w:val="124"/>
    <w:autoRedefine/>
    <w:semiHidden/>
    <w:unhideWhenUsed/>
    <w:qFormat/>
    <w:uiPriority w:val="99"/>
    <w:pPr>
      <w:snapToGrid w:val="0"/>
      <w:jc w:val="left"/>
    </w:pPr>
    <w:rPr>
      <w:sz w:val="18"/>
      <w:szCs w:val="18"/>
    </w:rPr>
  </w:style>
  <w:style w:type="paragraph" w:styleId="68">
    <w:name w:val="toc 6"/>
    <w:basedOn w:val="1"/>
    <w:next w:val="1"/>
    <w:autoRedefine/>
    <w:semiHidden/>
    <w:unhideWhenUsed/>
    <w:qFormat/>
    <w:uiPriority w:val="39"/>
    <w:pPr>
      <w:ind w:left="2100" w:leftChars="1000"/>
    </w:pPr>
  </w:style>
  <w:style w:type="paragraph" w:styleId="69">
    <w:name w:val="List 5"/>
    <w:basedOn w:val="1"/>
    <w:autoRedefine/>
    <w:semiHidden/>
    <w:unhideWhenUsed/>
    <w:qFormat/>
    <w:uiPriority w:val="99"/>
    <w:pPr>
      <w:ind w:left="100" w:leftChars="800" w:hanging="200" w:hangingChars="200"/>
      <w:contextualSpacing/>
    </w:pPr>
  </w:style>
  <w:style w:type="paragraph" w:styleId="70">
    <w:name w:val="Body Text Indent 3"/>
    <w:basedOn w:val="1"/>
    <w:link w:val="144"/>
    <w:autoRedefine/>
    <w:semiHidden/>
    <w:unhideWhenUsed/>
    <w:qFormat/>
    <w:uiPriority w:val="99"/>
    <w:pPr>
      <w:spacing w:after="120"/>
      <w:ind w:left="420" w:leftChars="200"/>
    </w:pPr>
    <w:rPr>
      <w:sz w:val="16"/>
      <w:szCs w:val="16"/>
    </w:r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autoRedefine/>
    <w:semiHidden/>
    <w:unhideWhenUsed/>
    <w:qFormat/>
    <w:uiPriority w:val="99"/>
    <w:pPr>
      <w:ind w:left="200" w:leftChars="200" w:hanging="200" w:hangingChars="200"/>
    </w:pPr>
  </w:style>
  <w:style w:type="paragraph" w:styleId="74">
    <w:name w:val="toc 2"/>
    <w:basedOn w:val="1"/>
    <w:next w:val="1"/>
    <w:autoRedefine/>
    <w:semiHidden/>
    <w:unhideWhenUsed/>
    <w:qFormat/>
    <w:uiPriority w:val="39"/>
    <w:pPr>
      <w:ind w:left="420" w:leftChars="200"/>
    </w:pPr>
  </w:style>
  <w:style w:type="paragraph" w:styleId="75">
    <w:name w:val="toc 9"/>
    <w:basedOn w:val="1"/>
    <w:next w:val="1"/>
    <w:autoRedefine/>
    <w:semiHidden/>
    <w:unhideWhenUsed/>
    <w:qFormat/>
    <w:uiPriority w:val="39"/>
    <w:pPr>
      <w:ind w:left="3360" w:leftChars="1600"/>
    </w:pPr>
  </w:style>
  <w:style w:type="paragraph" w:styleId="76">
    <w:name w:val="Body Text 2"/>
    <w:basedOn w:val="1"/>
    <w:link w:val="137"/>
    <w:autoRedefine/>
    <w:semiHidden/>
    <w:unhideWhenUsed/>
    <w:qFormat/>
    <w:uiPriority w:val="99"/>
    <w:pPr>
      <w:spacing w:after="120" w:line="480" w:lineRule="auto"/>
    </w:pPr>
  </w:style>
  <w:style w:type="paragraph" w:styleId="77">
    <w:name w:val="List 4"/>
    <w:basedOn w:val="1"/>
    <w:autoRedefine/>
    <w:semiHidden/>
    <w:unhideWhenUsed/>
    <w:qFormat/>
    <w:uiPriority w:val="99"/>
    <w:pPr>
      <w:ind w:left="100" w:leftChars="600" w:hanging="200" w:hangingChars="200"/>
      <w:contextualSpacing/>
    </w:pPr>
  </w:style>
  <w:style w:type="paragraph" w:styleId="78">
    <w:name w:val="List Continue 2"/>
    <w:basedOn w:val="1"/>
    <w:autoRedefine/>
    <w:semiHidden/>
    <w:unhideWhenUsed/>
    <w:qFormat/>
    <w:uiPriority w:val="99"/>
    <w:pPr>
      <w:spacing w:after="120"/>
      <w:ind w:left="840" w:leftChars="400"/>
      <w:contextualSpacing/>
    </w:pPr>
  </w:style>
  <w:style w:type="paragraph" w:styleId="79">
    <w:name w:val="Message Header"/>
    <w:basedOn w:val="1"/>
    <w:link w:val="134"/>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7"/>
    <w:autoRedefine/>
    <w:semiHidden/>
    <w:unhideWhenUsed/>
    <w:qFormat/>
    <w:uiPriority w:val="99"/>
    <w:rPr>
      <w:rFonts w:ascii="Courier New" w:hAnsi="Courier New" w:cs="Courier New"/>
      <w:sz w:val="20"/>
      <w:szCs w:val="20"/>
    </w:rPr>
  </w:style>
  <w:style w:type="paragraph" w:styleId="81">
    <w:name w:val="Normal (Web)"/>
    <w:basedOn w:val="1"/>
    <w:autoRedefine/>
    <w:semiHidden/>
    <w:unhideWhenUsed/>
    <w:qFormat/>
    <w:uiPriority w:val="99"/>
    <w:pPr>
      <w:spacing w:beforeAutospacing="1" w:afterAutospacing="1"/>
      <w:jc w:val="left"/>
    </w:pPr>
    <w:rPr>
      <w:kern w:val="0"/>
      <w:sz w:val="24"/>
    </w:rPr>
  </w:style>
  <w:style w:type="paragraph" w:styleId="82">
    <w:name w:val="List Continue 3"/>
    <w:basedOn w:val="1"/>
    <w:autoRedefine/>
    <w:semiHidden/>
    <w:unhideWhenUsed/>
    <w:qFormat/>
    <w:uiPriority w:val="99"/>
    <w:pPr>
      <w:spacing w:after="120"/>
      <w:ind w:left="126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next w:val="1"/>
    <w:link w:val="110"/>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100"/>
    <w:autoRedefine/>
    <w:semiHidden/>
    <w:unhideWhenUsed/>
    <w:qFormat/>
    <w:uiPriority w:val="99"/>
    <w:rPr>
      <w:b/>
      <w:bCs/>
    </w:rPr>
  </w:style>
  <w:style w:type="paragraph" w:styleId="86">
    <w:name w:val="Body Text First Indent"/>
    <w:basedOn w:val="34"/>
    <w:link w:val="140"/>
    <w:autoRedefine/>
    <w:semiHidden/>
    <w:unhideWhenUsed/>
    <w:qFormat/>
    <w:uiPriority w:val="99"/>
    <w:pPr>
      <w:spacing w:after="120"/>
      <w:ind w:firstLine="420" w:firstLineChars="100"/>
    </w:pPr>
    <w:rPr>
      <w:rFonts w:ascii="Calibri" w:hAnsi="Calibri" w:cs="Times New Roman"/>
      <w:sz w:val="21"/>
      <w:szCs w:val="22"/>
      <w:lang w:eastAsia="zh-CN"/>
    </w:rPr>
  </w:style>
  <w:style w:type="paragraph" w:styleId="87">
    <w:name w:val="Body Text First Indent 2"/>
    <w:basedOn w:val="35"/>
    <w:link w:val="142"/>
    <w:autoRedefine/>
    <w:semiHidden/>
    <w:unhideWhenUsed/>
    <w:qFormat/>
    <w:uiPriority w:val="99"/>
    <w:pPr>
      <w:ind w:firstLine="420" w:firstLineChars="200"/>
    </w:pPr>
  </w:style>
  <w:style w:type="table" w:styleId="89">
    <w:name w:val="Table Grid"/>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annotation reference"/>
    <w:basedOn w:val="90"/>
    <w:autoRedefine/>
    <w:semiHidden/>
    <w:unhideWhenUsed/>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脚 字符"/>
    <w:basedOn w:val="90"/>
    <w:link w:val="55"/>
    <w:autoRedefine/>
    <w:qFormat/>
    <w:uiPriority w:val="99"/>
    <w:rPr>
      <w:rFonts w:ascii="Calibri" w:hAnsi="Calibri" w:eastAsia="宋体" w:cs="Times New Roman"/>
      <w:sz w:val="18"/>
      <w:szCs w:val="18"/>
    </w:rPr>
  </w:style>
  <w:style w:type="paragraph" w:customStyle="1" w:styleId="94">
    <w:name w:val="列出段落1"/>
    <w:basedOn w:val="1"/>
    <w:autoRedefine/>
    <w:qFormat/>
    <w:uiPriority w:val="34"/>
    <w:pPr>
      <w:numPr>
        <w:ilvl w:val="0"/>
        <w:numId w:val="11"/>
      </w:numPr>
      <w:adjustRightInd w:val="0"/>
      <w:snapToGrid w:val="0"/>
      <w:spacing w:line="560" w:lineRule="exact"/>
    </w:pPr>
  </w:style>
  <w:style w:type="character" w:customStyle="1" w:styleId="95">
    <w:name w:val="页眉 字符"/>
    <w:basedOn w:val="90"/>
    <w:link w:val="57"/>
    <w:autoRedefine/>
    <w:semiHidden/>
    <w:qFormat/>
    <w:uiPriority w:val="99"/>
    <w:rPr>
      <w:rFonts w:ascii="Calibri" w:hAnsi="Calibri" w:eastAsia="宋体" w:cs="Times New Roman"/>
      <w:sz w:val="18"/>
      <w:szCs w:val="18"/>
    </w:rPr>
  </w:style>
  <w:style w:type="character" w:customStyle="1" w:styleId="96">
    <w:name w:val="批注框文本 字符"/>
    <w:basedOn w:val="90"/>
    <w:link w:val="54"/>
    <w:autoRedefine/>
    <w:semiHidden/>
    <w:qFormat/>
    <w:uiPriority w:val="99"/>
    <w:rPr>
      <w:rFonts w:ascii="Calibri" w:hAnsi="Calibri" w:eastAsia="宋体" w:cs="Times New Roman"/>
      <w:sz w:val="18"/>
      <w:szCs w:val="18"/>
    </w:rPr>
  </w:style>
  <w:style w:type="paragraph" w:customStyle="1" w:styleId="97">
    <w:name w:val="修订1"/>
    <w:autoRedefine/>
    <w:hidden/>
    <w:semiHidden/>
    <w:qFormat/>
    <w:uiPriority w:val="99"/>
    <w:rPr>
      <w:rFonts w:ascii="Calibri" w:hAnsi="Calibri" w:eastAsia="宋体" w:cs="Times New Roman"/>
      <w:kern w:val="2"/>
      <w:sz w:val="21"/>
      <w:szCs w:val="22"/>
      <w:lang w:val="en-US" w:eastAsia="zh-CN" w:bidi="ar-SA"/>
    </w:rPr>
  </w:style>
  <w:style w:type="paragraph" w:styleId="98">
    <w:name w:val="List Paragraph"/>
    <w:basedOn w:val="1"/>
    <w:autoRedefine/>
    <w:qFormat/>
    <w:uiPriority w:val="99"/>
    <w:pPr>
      <w:ind w:firstLine="420" w:firstLineChars="200"/>
    </w:pPr>
  </w:style>
  <w:style w:type="character" w:customStyle="1" w:styleId="99">
    <w:name w:val="批注文字 字符"/>
    <w:basedOn w:val="90"/>
    <w:link w:val="28"/>
    <w:autoRedefine/>
    <w:qFormat/>
    <w:uiPriority w:val="0"/>
    <w:rPr>
      <w:rFonts w:ascii="Calibri" w:hAnsi="Calibri"/>
      <w:kern w:val="2"/>
      <w:sz w:val="21"/>
      <w:szCs w:val="22"/>
    </w:rPr>
  </w:style>
  <w:style w:type="character" w:customStyle="1" w:styleId="100">
    <w:name w:val="批注主题 字符"/>
    <w:basedOn w:val="99"/>
    <w:link w:val="85"/>
    <w:autoRedefine/>
    <w:qFormat/>
    <w:uiPriority w:val="0"/>
    <w:rPr>
      <w:rFonts w:ascii="Calibri" w:hAnsi="Calibri" w:eastAsia="宋体" w:cs="Times New Roman"/>
      <w:kern w:val="2"/>
      <w:sz w:val="21"/>
      <w:szCs w:val="22"/>
    </w:rPr>
  </w:style>
  <w:style w:type="paragraph" w:customStyle="1" w:styleId="101">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102">
    <w:name w:val="修订3"/>
    <w:autoRedefine/>
    <w:hidden/>
    <w:unhideWhenUsed/>
    <w:qFormat/>
    <w:uiPriority w:val="99"/>
    <w:rPr>
      <w:rFonts w:ascii="Calibri" w:hAnsi="Calibri" w:eastAsia="宋体" w:cs="Times New Roman"/>
      <w:kern w:val="2"/>
      <w:sz w:val="21"/>
      <w:szCs w:val="22"/>
      <w:lang w:val="en-US" w:eastAsia="zh-CN" w:bidi="ar-SA"/>
    </w:rPr>
  </w:style>
  <w:style w:type="paragraph" w:customStyle="1" w:styleId="103">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04">
    <w:name w:val="Table Normal"/>
    <w:autoRedefine/>
    <w:semiHidden/>
    <w:unhideWhenUsed/>
    <w:qFormat/>
    <w:uiPriority w:val="0"/>
    <w:tblPr>
      <w:tblCellMar>
        <w:top w:w="0" w:type="dxa"/>
        <w:left w:w="0" w:type="dxa"/>
        <w:bottom w:w="0" w:type="dxa"/>
        <w:right w:w="0" w:type="dxa"/>
      </w:tblCellMar>
    </w:tblPr>
  </w:style>
  <w:style w:type="paragraph" w:customStyle="1" w:styleId="105">
    <w:name w:val="Table Text"/>
    <w:basedOn w:val="1"/>
    <w:autoRedefine/>
    <w:semiHidden/>
    <w:qFormat/>
    <w:uiPriority w:val="0"/>
    <w:pPr>
      <w:spacing w:before="64" w:line="284" w:lineRule="auto"/>
      <w:ind w:left="18" w:right="30" w:hanging="7"/>
      <w:jc w:val="left"/>
    </w:pPr>
    <w:rPr>
      <w:rFonts w:ascii="Times New Roman" w:hAnsi="Times New Roman" w:eastAsia="Times New Roman"/>
      <w:sz w:val="24"/>
      <w:szCs w:val="24"/>
      <w:lang w:eastAsia="en-US"/>
    </w:rPr>
  </w:style>
  <w:style w:type="character" w:customStyle="1" w:styleId="106">
    <w:name w:val="HTML 地址 字符"/>
    <w:basedOn w:val="90"/>
    <w:link w:val="41"/>
    <w:autoRedefine/>
    <w:semiHidden/>
    <w:qFormat/>
    <w:uiPriority w:val="99"/>
    <w:rPr>
      <w:rFonts w:ascii="Calibri" w:hAnsi="Calibri"/>
      <w:i/>
      <w:iCs/>
      <w:kern w:val="2"/>
      <w:sz w:val="21"/>
      <w:szCs w:val="22"/>
    </w:rPr>
  </w:style>
  <w:style w:type="character" w:customStyle="1" w:styleId="107">
    <w:name w:val="HTML 预设格式 字符"/>
    <w:basedOn w:val="90"/>
    <w:link w:val="80"/>
    <w:autoRedefine/>
    <w:semiHidden/>
    <w:qFormat/>
    <w:uiPriority w:val="99"/>
    <w:rPr>
      <w:rFonts w:ascii="Courier New" w:hAnsi="Courier New" w:cs="Courier New"/>
      <w:kern w:val="2"/>
    </w:rPr>
  </w:style>
  <w:style w:type="character" w:customStyle="1" w:styleId="108">
    <w:name w:val="标题 1 字符"/>
    <w:basedOn w:val="90"/>
    <w:link w:val="3"/>
    <w:autoRedefine/>
    <w:qFormat/>
    <w:uiPriority w:val="9"/>
    <w:rPr>
      <w:rFonts w:ascii="Calibri" w:hAnsi="Calibri"/>
      <w:b/>
      <w:bCs/>
      <w:kern w:val="44"/>
      <w:sz w:val="44"/>
      <w:szCs w:val="44"/>
    </w:rPr>
  </w:style>
  <w:style w:type="paragraph" w:customStyle="1" w:styleId="109">
    <w:name w:val="TOC 标题1"/>
    <w:basedOn w:val="3"/>
    <w:next w:val="1"/>
    <w:autoRedefine/>
    <w:semiHidden/>
    <w:unhideWhenUsed/>
    <w:qFormat/>
    <w:uiPriority w:val="39"/>
    <w:pPr>
      <w:outlineLvl w:val="9"/>
    </w:pPr>
  </w:style>
  <w:style w:type="character" w:customStyle="1" w:styleId="110">
    <w:name w:val="标题 字符"/>
    <w:basedOn w:val="90"/>
    <w:link w:val="84"/>
    <w:autoRedefine/>
    <w:qFormat/>
    <w:uiPriority w:val="10"/>
    <w:rPr>
      <w:rFonts w:asciiTheme="majorHAnsi" w:hAnsiTheme="majorHAnsi" w:eastAsiaTheme="majorEastAsia" w:cstheme="majorBidi"/>
      <w:b/>
      <w:bCs/>
      <w:kern w:val="2"/>
      <w:sz w:val="32"/>
      <w:szCs w:val="32"/>
    </w:rPr>
  </w:style>
  <w:style w:type="character" w:customStyle="1" w:styleId="111">
    <w:name w:val="标题 2 字符"/>
    <w:basedOn w:val="90"/>
    <w:link w:val="4"/>
    <w:autoRedefine/>
    <w:semiHidden/>
    <w:qFormat/>
    <w:uiPriority w:val="9"/>
    <w:rPr>
      <w:rFonts w:asciiTheme="majorHAnsi" w:hAnsiTheme="majorHAnsi" w:eastAsiaTheme="majorEastAsia" w:cstheme="majorBidi"/>
      <w:b/>
      <w:bCs/>
      <w:kern w:val="2"/>
      <w:sz w:val="32"/>
      <w:szCs w:val="32"/>
    </w:rPr>
  </w:style>
  <w:style w:type="character" w:customStyle="1" w:styleId="112">
    <w:name w:val="标题 3 字符"/>
    <w:basedOn w:val="90"/>
    <w:link w:val="5"/>
    <w:autoRedefine/>
    <w:semiHidden/>
    <w:qFormat/>
    <w:uiPriority w:val="9"/>
    <w:rPr>
      <w:rFonts w:ascii="Calibri" w:hAnsi="Calibri"/>
      <w:b/>
      <w:bCs/>
      <w:kern w:val="2"/>
      <w:sz w:val="32"/>
      <w:szCs w:val="32"/>
    </w:rPr>
  </w:style>
  <w:style w:type="character" w:customStyle="1" w:styleId="113">
    <w:name w:val="标题 4 字符"/>
    <w:basedOn w:val="90"/>
    <w:link w:val="6"/>
    <w:autoRedefine/>
    <w:semiHidden/>
    <w:qFormat/>
    <w:uiPriority w:val="9"/>
    <w:rPr>
      <w:rFonts w:asciiTheme="majorHAnsi" w:hAnsiTheme="majorHAnsi" w:eastAsiaTheme="majorEastAsia" w:cstheme="majorBidi"/>
      <w:b/>
      <w:bCs/>
      <w:kern w:val="2"/>
      <w:sz w:val="28"/>
      <w:szCs w:val="28"/>
    </w:rPr>
  </w:style>
  <w:style w:type="character" w:customStyle="1" w:styleId="114">
    <w:name w:val="标题 5 字符"/>
    <w:basedOn w:val="90"/>
    <w:link w:val="7"/>
    <w:autoRedefine/>
    <w:semiHidden/>
    <w:qFormat/>
    <w:uiPriority w:val="9"/>
    <w:rPr>
      <w:rFonts w:ascii="Calibri" w:hAnsi="Calibri"/>
      <w:b/>
      <w:bCs/>
      <w:kern w:val="2"/>
      <w:sz w:val="28"/>
      <w:szCs w:val="28"/>
    </w:rPr>
  </w:style>
  <w:style w:type="character" w:customStyle="1" w:styleId="115">
    <w:name w:val="标题 6 字符"/>
    <w:basedOn w:val="90"/>
    <w:link w:val="8"/>
    <w:autoRedefine/>
    <w:semiHidden/>
    <w:qFormat/>
    <w:uiPriority w:val="9"/>
    <w:rPr>
      <w:rFonts w:asciiTheme="majorHAnsi" w:hAnsiTheme="majorHAnsi" w:eastAsiaTheme="majorEastAsia" w:cstheme="majorBidi"/>
      <w:b/>
      <w:bCs/>
      <w:kern w:val="2"/>
      <w:sz w:val="24"/>
      <w:szCs w:val="24"/>
    </w:rPr>
  </w:style>
  <w:style w:type="character" w:customStyle="1" w:styleId="116">
    <w:name w:val="标题 7 字符"/>
    <w:basedOn w:val="90"/>
    <w:link w:val="9"/>
    <w:autoRedefine/>
    <w:semiHidden/>
    <w:qFormat/>
    <w:uiPriority w:val="9"/>
    <w:rPr>
      <w:rFonts w:ascii="Calibri" w:hAnsi="Calibri"/>
      <w:b/>
      <w:bCs/>
      <w:kern w:val="2"/>
      <w:sz w:val="24"/>
      <w:szCs w:val="24"/>
    </w:rPr>
  </w:style>
  <w:style w:type="character" w:customStyle="1" w:styleId="117">
    <w:name w:val="标题 8 字符"/>
    <w:basedOn w:val="90"/>
    <w:link w:val="10"/>
    <w:autoRedefine/>
    <w:semiHidden/>
    <w:qFormat/>
    <w:uiPriority w:val="9"/>
    <w:rPr>
      <w:rFonts w:asciiTheme="majorHAnsi" w:hAnsiTheme="majorHAnsi" w:eastAsiaTheme="majorEastAsia" w:cstheme="majorBidi"/>
      <w:kern w:val="2"/>
      <w:sz w:val="24"/>
      <w:szCs w:val="24"/>
    </w:rPr>
  </w:style>
  <w:style w:type="character" w:customStyle="1" w:styleId="118">
    <w:name w:val="标题 9 字符"/>
    <w:basedOn w:val="90"/>
    <w:link w:val="11"/>
    <w:autoRedefine/>
    <w:semiHidden/>
    <w:qFormat/>
    <w:uiPriority w:val="9"/>
    <w:rPr>
      <w:rFonts w:asciiTheme="majorHAnsi" w:hAnsiTheme="majorHAnsi" w:eastAsiaTheme="majorEastAsia" w:cstheme="majorBidi"/>
      <w:kern w:val="2"/>
      <w:sz w:val="21"/>
      <w:szCs w:val="21"/>
    </w:rPr>
  </w:style>
  <w:style w:type="character" w:customStyle="1" w:styleId="119">
    <w:name w:val="称呼 字符"/>
    <w:basedOn w:val="90"/>
    <w:link w:val="30"/>
    <w:autoRedefine/>
    <w:semiHidden/>
    <w:qFormat/>
    <w:uiPriority w:val="99"/>
    <w:rPr>
      <w:rFonts w:ascii="Calibri" w:hAnsi="Calibri"/>
      <w:kern w:val="2"/>
      <w:sz w:val="21"/>
      <w:szCs w:val="22"/>
    </w:rPr>
  </w:style>
  <w:style w:type="character" w:customStyle="1" w:styleId="120">
    <w:name w:val="纯文本 字符"/>
    <w:basedOn w:val="90"/>
    <w:link w:val="45"/>
    <w:autoRedefine/>
    <w:semiHidden/>
    <w:qFormat/>
    <w:uiPriority w:val="99"/>
    <w:rPr>
      <w:rFonts w:hAnsi="Courier New" w:cs="Courier New" w:asciiTheme="minorEastAsia" w:eastAsiaTheme="minorEastAsia"/>
      <w:kern w:val="2"/>
      <w:sz w:val="21"/>
      <w:szCs w:val="22"/>
    </w:rPr>
  </w:style>
  <w:style w:type="character" w:customStyle="1" w:styleId="121">
    <w:name w:val="电子邮件签名 字符"/>
    <w:basedOn w:val="90"/>
    <w:link w:val="19"/>
    <w:autoRedefine/>
    <w:semiHidden/>
    <w:qFormat/>
    <w:uiPriority w:val="99"/>
    <w:rPr>
      <w:rFonts w:ascii="Calibri" w:hAnsi="Calibri"/>
      <w:kern w:val="2"/>
      <w:sz w:val="21"/>
      <w:szCs w:val="22"/>
    </w:rPr>
  </w:style>
  <w:style w:type="character" w:customStyle="1" w:styleId="122">
    <w:name w:val="副标题 字符"/>
    <w:basedOn w:val="90"/>
    <w:link w:val="64"/>
    <w:autoRedefine/>
    <w:qFormat/>
    <w:uiPriority w:val="11"/>
    <w:rPr>
      <w:rFonts w:asciiTheme="minorHAnsi" w:hAnsiTheme="minorHAnsi" w:eastAsiaTheme="minorEastAsia" w:cstheme="minorBidi"/>
      <w:b/>
      <w:bCs/>
      <w:kern w:val="28"/>
      <w:sz w:val="32"/>
      <w:szCs w:val="32"/>
    </w:rPr>
  </w:style>
  <w:style w:type="character" w:customStyle="1" w:styleId="123">
    <w:name w:val="宏文本 字符"/>
    <w:basedOn w:val="90"/>
    <w:link w:val="2"/>
    <w:autoRedefine/>
    <w:semiHidden/>
    <w:qFormat/>
    <w:uiPriority w:val="99"/>
    <w:rPr>
      <w:rFonts w:ascii="Courier New" w:hAnsi="Courier New" w:cs="Courier New"/>
      <w:kern w:val="2"/>
      <w:sz w:val="24"/>
      <w:szCs w:val="24"/>
    </w:rPr>
  </w:style>
  <w:style w:type="character" w:customStyle="1" w:styleId="124">
    <w:name w:val="脚注文本 字符"/>
    <w:basedOn w:val="90"/>
    <w:link w:val="67"/>
    <w:autoRedefine/>
    <w:semiHidden/>
    <w:qFormat/>
    <w:uiPriority w:val="99"/>
    <w:rPr>
      <w:rFonts w:ascii="Calibri" w:hAnsi="Calibri"/>
      <w:kern w:val="2"/>
      <w:sz w:val="18"/>
      <w:szCs w:val="18"/>
    </w:rPr>
  </w:style>
  <w:style w:type="character" w:customStyle="1" w:styleId="125">
    <w:name w:val="结束语 字符"/>
    <w:basedOn w:val="90"/>
    <w:link w:val="32"/>
    <w:autoRedefine/>
    <w:semiHidden/>
    <w:qFormat/>
    <w:uiPriority w:val="99"/>
    <w:rPr>
      <w:rFonts w:ascii="Calibri" w:hAnsi="Calibri"/>
      <w:kern w:val="2"/>
      <w:sz w:val="21"/>
      <w:szCs w:val="22"/>
    </w:rPr>
  </w:style>
  <w:style w:type="paragraph" w:styleId="126">
    <w:name w:val="Intense Quote"/>
    <w:basedOn w:val="1"/>
    <w:next w:val="1"/>
    <w:link w:val="127"/>
    <w:autoRedefine/>
    <w:semiHidden/>
    <w:unhideWhenUsed/>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27">
    <w:name w:val="明显引用 字符"/>
    <w:basedOn w:val="90"/>
    <w:link w:val="126"/>
    <w:autoRedefine/>
    <w:semiHidden/>
    <w:qFormat/>
    <w:uiPriority w:val="99"/>
    <w:rPr>
      <w:rFonts w:ascii="Calibri" w:hAnsi="Calibri"/>
      <w:i/>
      <w:iCs/>
      <w:color w:val="4F81BD" w:themeColor="accent1"/>
      <w:kern w:val="2"/>
      <w:sz w:val="21"/>
      <w:szCs w:val="22"/>
      <w14:textFill>
        <w14:solidFill>
          <w14:schemeClr w14:val="accent1"/>
        </w14:solidFill>
      </w14:textFill>
    </w:rPr>
  </w:style>
  <w:style w:type="character" w:customStyle="1" w:styleId="128">
    <w:name w:val="签名 字符"/>
    <w:basedOn w:val="90"/>
    <w:link w:val="58"/>
    <w:autoRedefine/>
    <w:semiHidden/>
    <w:qFormat/>
    <w:uiPriority w:val="99"/>
    <w:rPr>
      <w:rFonts w:ascii="Calibri" w:hAnsi="Calibri"/>
      <w:kern w:val="2"/>
      <w:sz w:val="21"/>
      <w:szCs w:val="22"/>
    </w:rPr>
  </w:style>
  <w:style w:type="character" w:customStyle="1" w:styleId="129">
    <w:name w:val="日期 字符"/>
    <w:basedOn w:val="90"/>
    <w:link w:val="50"/>
    <w:autoRedefine/>
    <w:semiHidden/>
    <w:qFormat/>
    <w:uiPriority w:val="99"/>
    <w:rPr>
      <w:rFonts w:ascii="Calibri" w:hAnsi="Calibri"/>
      <w:kern w:val="2"/>
      <w:sz w:val="21"/>
      <w:szCs w:val="22"/>
    </w:rPr>
  </w:style>
  <w:style w:type="paragraph" w:customStyle="1" w:styleId="130">
    <w:name w:val="书目1"/>
    <w:basedOn w:val="1"/>
    <w:next w:val="1"/>
    <w:autoRedefine/>
    <w:semiHidden/>
    <w:unhideWhenUsed/>
    <w:qFormat/>
    <w:uiPriority w:val="37"/>
  </w:style>
  <w:style w:type="character" w:customStyle="1" w:styleId="131">
    <w:name w:val="尾注文本 字符"/>
    <w:basedOn w:val="90"/>
    <w:link w:val="52"/>
    <w:autoRedefine/>
    <w:semiHidden/>
    <w:qFormat/>
    <w:uiPriority w:val="99"/>
    <w:rPr>
      <w:rFonts w:ascii="Calibri" w:hAnsi="Calibri"/>
      <w:kern w:val="2"/>
      <w:sz w:val="21"/>
      <w:szCs w:val="22"/>
    </w:rPr>
  </w:style>
  <w:style w:type="character" w:customStyle="1" w:styleId="132">
    <w:name w:val="文档结构图 字符"/>
    <w:basedOn w:val="90"/>
    <w:link w:val="26"/>
    <w:autoRedefine/>
    <w:semiHidden/>
    <w:qFormat/>
    <w:uiPriority w:val="99"/>
    <w:rPr>
      <w:rFonts w:ascii="Microsoft YaHei UI" w:hAnsi="Calibri" w:eastAsia="Microsoft YaHei UI"/>
      <w:kern w:val="2"/>
      <w:sz w:val="18"/>
      <w:szCs w:val="18"/>
    </w:rPr>
  </w:style>
  <w:style w:type="paragraph" w:styleId="133">
    <w:name w:val="No Spacing"/>
    <w:autoRedefine/>
    <w:semiHidden/>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4">
    <w:name w:val="信息标题 字符"/>
    <w:basedOn w:val="90"/>
    <w:link w:val="79"/>
    <w:autoRedefine/>
    <w:semiHidden/>
    <w:qFormat/>
    <w:uiPriority w:val="99"/>
    <w:rPr>
      <w:rFonts w:asciiTheme="majorHAnsi" w:hAnsiTheme="majorHAnsi" w:eastAsiaTheme="majorEastAsia" w:cstheme="majorBidi"/>
      <w:kern w:val="2"/>
      <w:sz w:val="24"/>
      <w:szCs w:val="24"/>
      <w:shd w:val="pct20" w:color="auto" w:fill="auto"/>
    </w:rPr>
  </w:style>
  <w:style w:type="paragraph" w:styleId="135">
    <w:name w:val="Quote"/>
    <w:basedOn w:val="1"/>
    <w:next w:val="1"/>
    <w:link w:val="136"/>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6">
    <w:name w:val="引用 字符"/>
    <w:basedOn w:val="90"/>
    <w:link w:val="135"/>
    <w:autoRedefine/>
    <w:semiHidden/>
    <w:qFormat/>
    <w:uiPriority w:val="99"/>
    <w:rPr>
      <w:rFonts w:ascii="Calibri" w:hAnsi="Calibr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7">
    <w:name w:val="正文文本 2 字符"/>
    <w:basedOn w:val="90"/>
    <w:link w:val="76"/>
    <w:autoRedefine/>
    <w:semiHidden/>
    <w:qFormat/>
    <w:uiPriority w:val="99"/>
    <w:rPr>
      <w:rFonts w:ascii="Calibri" w:hAnsi="Calibri"/>
      <w:kern w:val="2"/>
      <w:sz w:val="21"/>
      <w:szCs w:val="22"/>
    </w:rPr>
  </w:style>
  <w:style w:type="character" w:customStyle="1" w:styleId="138">
    <w:name w:val="正文文本 3 字符"/>
    <w:basedOn w:val="90"/>
    <w:link w:val="31"/>
    <w:autoRedefine/>
    <w:semiHidden/>
    <w:qFormat/>
    <w:uiPriority w:val="99"/>
    <w:rPr>
      <w:rFonts w:ascii="Calibri" w:hAnsi="Calibri"/>
      <w:kern w:val="2"/>
      <w:sz w:val="16"/>
      <w:szCs w:val="16"/>
    </w:rPr>
  </w:style>
  <w:style w:type="character" w:customStyle="1" w:styleId="139">
    <w:name w:val="正文文本 字符"/>
    <w:basedOn w:val="90"/>
    <w:link w:val="34"/>
    <w:autoRedefine/>
    <w:semiHidden/>
    <w:qFormat/>
    <w:uiPriority w:val="0"/>
    <w:rPr>
      <w:rFonts w:ascii="宋体" w:hAnsi="宋体" w:cs="宋体"/>
      <w:kern w:val="2"/>
      <w:sz w:val="35"/>
      <w:szCs w:val="35"/>
      <w:lang w:eastAsia="en-US"/>
    </w:rPr>
  </w:style>
  <w:style w:type="character" w:customStyle="1" w:styleId="140">
    <w:name w:val="正文文本首行缩进 字符"/>
    <w:basedOn w:val="139"/>
    <w:link w:val="86"/>
    <w:autoRedefine/>
    <w:semiHidden/>
    <w:qFormat/>
    <w:uiPriority w:val="99"/>
    <w:rPr>
      <w:rFonts w:ascii="Calibri" w:hAnsi="Calibri" w:cs="宋体"/>
      <w:kern w:val="2"/>
      <w:sz w:val="21"/>
      <w:szCs w:val="22"/>
      <w:lang w:eastAsia="en-US"/>
    </w:rPr>
  </w:style>
  <w:style w:type="character" w:customStyle="1" w:styleId="141">
    <w:name w:val="正文文本缩进 字符"/>
    <w:basedOn w:val="90"/>
    <w:link w:val="35"/>
    <w:autoRedefine/>
    <w:semiHidden/>
    <w:qFormat/>
    <w:uiPriority w:val="99"/>
    <w:rPr>
      <w:rFonts w:ascii="Calibri" w:hAnsi="Calibri"/>
      <w:kern w:val="2"/>
      <w:sz w:val="21"/>
      <w:szCs w:val="22"/>
    </w:rPr>
  </w:style>
  <w:style w:type="character" w:customStyle="1" w:styleId="142">
    <w:name w:val="正文文本首行缩进 2 字符"/>
    <w:basedOn w:val="141"/>
    <w:link w:val="87"/>
    <w:autoRedefine/>
    <w:semiHidden/>
    <w:qFormat/>
    <w:uiPriority w:val="99"/>
    <w:rPr>
      <w:rFonts w:ascii="Calibri" w:hAnsi="Calibri"/>
      <w:kern w:val="2"/>
      <w:sz w:val="21"/>
      <w:szCs w:val="22"/>
    </w:rPr>
  </w:style>
  <w:style w:type="character" w:customStyle="1" w:styleId="143">
    <w:name w:val="正文文本缩进 2 字符"/>
    <w:basedOn w:val="90"/>
    <w:link w:val="51"/>
    <w:autoRedefine/>
    <w:semiHidden/>
    <w:qFormat/>
    <w:uiPriority w:val="99"/>
    <w:rPr>
      <w:rFonts w:ascii="Calibri" w:hAnsi="Calibri"/>
      <w:kern w:val="2"/>
      <w:sz w:val="21"/>
      <w:szCs w:val="22"/>
    </w:rPr>
  </w:style>
  <w:style w:type="character" w:customStyle="1" w:styleId="144">
    <w:name w:val="正文文本缩进 3 字符"/>
    <w:basedOn w:val="90"/>
    <w:link w:val="70"/>
    <w:autoRedefine/>
    <w:semiHidden/>
    <w:qFormat/>
    <w:uiPriority w:val="99"/>
    <w:rPr>
      <w:rFonts w:ascii="Calibri" w:hAnsi="Calibri"/>
      <w:kern w:val="2"/>
      <w:sz w:val="16"/>
      <w:szCs w:val="16"/>
    </w:rPr>
  </w:style>
  <w:style w:type="character" w:customStyle="1" w:styleId="145">
    <w:name w:val="注释标题 字符"/>
    <w:basedOn w:val="90"/>
    <w:link w:val="16"/>
    <w:autoRedefine/>
    <w:semiHidden/>
    <w:qFormat/>
    <w:uiPriority w:val="99"/>
    <w:rPr>
      <w:rFonts w:ascii="Calibri" w:hAnsi="Calibri"/>
      <w:kern w:val="2"/>
      <w:sz w:val="21"/>
      <w:szCs w:val="22"/>
    </w:rPr>
  </w:style>
  <w:style w:type="paragraph" w:customStyle="1" w:styleId="146">
    <w:name w:val="修订5"/>
    <w:autoRedefine/>
    <w:hidden/>
    <w:unhideWhenUsed/>
    <w:qFormat/>
    <w:uiPriority w:val="99"/>
    <w:rPr>
      <w:rFonts w:ascii="Calibri" w:hAnsi="Calibri" w:eastAsia="宋体" w:cs="Times New Roman"/>
      <w:kern w:val="2"/>
      <w:sz w:val="21"/>
      <w:szCs w:val="22"/>
      <w:lang w:val="en-US" w:eastAsia="zh-CN" w:bidi="ar-SA"/>
    </w:rPr>
  </w:style>
  <w:style w:type="character" w:customStyle="1" w:styleId="147">
    <w:name w:val="font11"/>
    <w:basedOn w:val="90"/>
    <w:autoRedefine/>
    <w:qFormat/>
    <w:uiPriority w:val="0"/>
    <w:rPr>
      <w:rFonts w:hint="eastAsia" w:ascii="宋体" w:hAnsi="宋体" w:eastAsia="宋体" w:cs="宋体"/>
      <w:b/>
      <w:bCs/>
      <w:color w:val="000000"/>
      <w:sz w:val="24"/>
      <w:szCs w:val="24"/>
      <w:u w:val="none"/>
    </w:rPr>
  </w:style>
  <w:style w:type="character" w:customStyle="1" w:styleId="148">
    <w:name w:val="font21"/>
    <w:basedOn w:val="90"/>
    <w:autoRedefine/>
    <w:qFormat/>
    <w:uiPriority w:val="0"/>
    <w:rPr>
      <w:rFonts w:hint="eastAsia" w:ascii="宋体" w:hAnsi="宋体" w:eastAsia="宋体" w:cs="宋体"/>
      <w:color w:val="000000"/>
      <w:sz w:val="24"/>
      <w:szCs w:val="24"/>
      <w:u w:val="none"/>
    </w:rPr>
  </w:style>
  <w:style w:type="paragraph" w:customStyle="1" w:styleId="149">
    <w:name w:val="修订6"/>
    <w:autoRedefine/>
    <w:hidden/>
    <w:unhideWhenUsed/>
    <w:qFormat/>
    <w:uiPriority w:val="99"/>
    <w:rPr>
      <w:rFonts w:ascii="Calibri" w:hAnsi="Calibri" w:eastAsia="宋体" w:cs="Times New Roman"/>
      <w:kern w:val="2"/>
      <w:sz w:val="21"/>
      <w:szCs w:val="22"/>
      <w:lang w:val="en-US" w:eastAsia="zh-CN" w:bidi="ar-SA"/>
    </w:rPr>
  </w:style>
  <w:style w:type="paragraph" w:customStyle="1" w:styleId="150">
    <w:name w:val="TOC 标题2"/>
    <w:basedOn w:val="3"/>
    <w:next w:val="1"/>
    <w:autoRedefine/>
    <w:semiHidden/>
    <w:unhideWhenUsed/>
    <w:qFormat/>
    <w:uiPriority w:val="39"/>
    <w:pPr>
      <w:outlineLvl w:val="9"/>
    </w:pPr>
  </w:style>
  <w:style w:type="paragraph" w:customStyle="1" w:styleId="151">
    <w:name w:val="书目2"/>
    <w:basedOn w:val="1"/>
    <w:next w:val="1"/>
    <w:autoRedefine/>
    <w:semiHidden/>
    <w:unhideWhenUsed/>
    <w:qFormat/>
    <w:uiPriority w:val="37"/>
  </w:style>
  <w:style w:type="paragraph" w:customStyle="1" w:styleId="152">
    <w:name w:val="修订7"/>
    <w:autoRedefine/>
    <w:hidden/>
    <w:unhideWhenUsed/>
    <w:qFormat/>
    <w:uiPriority w:val="99"/>
    <w:rPr>
      <w:rFonts w:ascii="Calibri" w:hAnsi="Calibri" w:eastAsia="宋体" w:cs="Times New Roman"/>
      <w:kern w:val="2"/>
      <w:sz w:val="21"/>
      <w:szCs w:val="22"/>
      <w:lang w:val="en-US" w:eastAsia="zh-CN" w:bidi="ar-SA"/>
    </w:rPr>
  </w:style>
  <w:style w:type="paragraph" w:customStyle="1" w:styleId="153">
    <w:name w:val="修订8"/>
    <w:hidden/>
    <w:unhideWhenUsed/>
    <w:qFormat/>
    <w:uiPriority w:val="99"/>
    <w:rPr>
      <w:rFonts w:ascii="Calibri" w:hAnsi="Calibri" w:eastAsia="宋体" w:cs="Times New Roman"/>
      <w:kern w:val="2"/>
      <w:sz w:val="21"/>
      <w:szCs w:val="22"/>
      <w:lang w:val="en-US" w:eastAsia="zh-CN" w:bidi="ar-SA"/>
    </w:rPr>
  </w:style>
  <w:style w:type="paragraph" w:customStyle="1" w:styleId="154">
    <w:name w:val="修订9"/>
    <w:hidden/>
    <w:unhideWhenUsed/>
    <w:qFormat/>
    <w:uiPriority w:val="99"/>
    <w:rPr>
      <w:rFonts w:ascii="Calibri" w:hAnsi="Calibri" w:eastAsia="宋体" w:cs="Times New Roman"/>
      <w:kern w:val="2"/>
      <w:sz w:val="21"/>
      <w:szCs w:val="22"/>
      <w:lang w:val="en-US" w:eastAsia="zh-CN" w:bidi="ar-SA"/>
    </w:rPr>
  </w:style>
  <w:style w:type="paragraph" w:customStyle="1" w:styleId="155">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729EB-DD8E-49F2-BCA2-B982D114E1A2}">
  <ds:schemaRefs/>
</ds:datastoreItem>
</file>

<file path=docProps/app.xml><?xml version="1.0" encoding="utf-8"?>
<Properties xmlns="http://schemas.openxmlformats.org/officeDocument/2006/extended-properties" xmlns:vt="http://schemas.openxmlformats.org/officeDocument/2006/docPropsVTypes">
  <Template>Normal</Template>
  <Pages>3</Pages>
  <Words>1226</Words>
  <Characters>1561</Characters>
  <Lines>11</Lines>
  <Paragraphs>3</Paragraphs>
  <TotalTime>71</TotalTime>
  <ScaleCrop>false</ScaleCrop>
  <LinksUpToDate>false</LinksUpToDate>
  <CharactersWithSpaces>1608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2024-08-05T06:16:00Z</dcterms:created>
  <dc:creator>tek</dc:creator>
  <cp:lastModifiedBy>雯亦</cp:lastModifiedBy>
  <dcterms:modified xsi:type="dcterms:W3CDTF">2025-03-04T05:18:38Z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21DFEC6E75CA466BA643B7E536799292_13</vt:lpwstr>
  </property>
  <property fmtid="{D5CDD505-2E9C-101B-9397-08002B2CF9AE}" pid="4" name="KSOTemplateDocerSaveRecord">
    <vt:lpwstr>eyJoZGlkIjoiZTQzZmRmZDMxMjkwMDE2NTk0ZWQ1ZWYwMzRmYjVhNmUiLCJ1c2VySWQiOiI2NDQwNzQxNTQifQ==</vt:lpwstr>
  </property>
</Properties>
</file>