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BB5799">
      <w:pPr>
        <w:rPr>
          <w:rFonts w:hint="eastAsia" w:asciiTheme="minorEastAsia" w:hAnsiTheme="minorEastAsia" w:eastAsiaTheme="minorEastAsia"/>
          <w:b/>
          <w:sz w:val="24"/>
          <w:szCs w:val="24"/>
          <w:lang w:val="en-US" w:eastAsia="zh-CN"/>
        </w:rPr>
      </w:pPr>
      <w:r>
        <w:rPr>
          <w:rFonts w:hint="eastAsia" w:asciiTheme="minorEastAsia" w:hAnsiTheme="minorEastAsia"/>
          <w:b/>
          <w:sz w:val="24"/>
          <w:szCs w:val="24"/>
        </w:rPr>
        <w:t>证券代码：603191        证券简称：望变电气         公告编号：2025-02</w:t>
      </w:r>
      <w:r>
        <w:rPr>
          <w:rFonts w:hint="eastAsia" w:asciiTheme="minorEastAsia" w:hAnsiTheme="minorEastAsia"/>
          <w:b/>
          <w:sz w:val="24"/>
          <w:szCs w:val="24"/>
          <w:lang w:val="en-US" w:eastAsia="zh-CN"/>
        </w:rPr>
        <w:t>2</w:t>
      </w:r>
    </w:p>
    <w:p w14:paraId="2B0C1F07">
      <w:pPr>
        <w:adjustRightInd w:val="0"/>
        <w:snapToGrid w:val="0"/>
        <w:spacing w:line="560" w:lineRule="exact"/>
        <w:jc w:val="left"/>
        <w:rPr>
          <w:rFonts w:hint="eastAsia" w:ascii="仿宋" w:hAnsi="仿宋" w:eastAsia="仿宋_GB2312"/>
          <w:sz w:val="30"/>
          <w:szCs w:val="30"/>
        </w:rPr>
      </w:pPr>
    </w:p>
    <w:p w14:paraId="395B2EFE">
      <w:pPr>
        <w:adjustRightInd w:val="0"/>
        <w:snapToGrid w:val="0"/>
        <w:spacing w:before="156" w:beforeLines="50" w:line="560" w:lineRule="exact"/>
        <w:jc w:val="center"/>
        <w:rPr>
          <w:rFonts w:hint="eastAsia" w:cs="仿宋_GB2312" w:asciiTheme="minorEastAsia" w:hAnsiTheme="minorEastAsia"/>
          <w:b/>
          <w:bCs/>
          <w:color w:val="FF0000"/>
          <w:sz w:val="36"/>
          <w:szCs w:val="36"/>
        </w:rPr>
      </w:pPr>
      <w:r>
        <w:rPr>
          <w:rFonts w:hint="eastAsia" w:cs="仿宋_GB2312" w:asciiTheme="minorEastAsia" w:hAnsiTheme="minorEastAsia"/>
          <w:b/>
          <w:bCs/>
          <w:color w:val="FF0000"/>
          <w:sz w:val="36"/>
          <w:szCs w:val="36"/>
        </w:rPr>
        <w:t>重庆望变电气（集团）股份有限公司</w:t>
      </w:r>
    </w:p>
    <w:p w14:paraId="60E36E68">
      <w:pPr>
        <w:adjustRightInd w:val="0"/>
        <w:snapToGrid w:val="0"/>
        <w:spacing w:before="156" w:beforeLines="50" w:line="560" w:lineRule="exact"/>
        <w:jc w:val="center"/>
        <w:rPr>
          <w:rFonts w:hint="eastAsia" w:cs="仿宋_GB2312" w:asciiTheme="minorEastAsia" w:hAnsiTheme="minorEastAsia"/>
          <w:b/>
          <w:bCs/>
          <w:color w:val="FF0000"/>
          <w:sz w:val="36"/>
          <w:szCs w:val="36"/>
        </w:rPr>
      </w:pPr>
      <w:r>
        <w:rPr>
          <w:rFonts w:hint="eastAsia" w:cs="仿宋_GB2312" w:asciiTheme="minorEastAsia" w:hAnsiTheme="minorEastAsia"/>
          <w:b/>
          <w:bCs/>
          <w:color w:val="FF0000"/>
          <w:sz w:val="36"/>
          <w:szCs w:val="36"/>
        </w:rPr>
        <w:t>关于减少注册资本并修改《公司章程》的公告</w:t>
      </w:r>
    </w:p>
    <w:p w14:paraId="100F6519">
      <w:pPr>
        <w:pBdr>
          <w:top w:val="single" w:color="auto" w:sz="4" w:space="1"/>
          <w:left w:val="single" w:color="auto" w:sz="4" w:space="4"/>
          <w:bottom w:val="single" w:color="auto" w:sz="4" w:space="1"/>
          <w:right w:val="single" w:color="auto" w:sz="4" w:space="4"/>
        </w:pBdr>
        <w:adjustRightInd w:val="0"/>
        <w:snapToGrid w:val="0"/>
        <w:spacing w:line="560" w:lineRule="exact"/>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本公司董事会及全体董事保证本公告内容不存在任何虚假记载、误导性陈述或者重大遗漏，并对其内容的真实性、准确性和完整性承担法律责任。</w:t>
      </w:r>
    </w:p>
    <w:p w14:paraId="4689DF40">
      <w:pPr>
        <w:adjustRightInd w:val="0"/>
        <w:snapToGrid w:val="0"/>
        <w:spacing w:line="560" w:lineRule="exact"/>
        <w:ind w:firstLine="480" w:firstLineChars="200"/>
        <w:rPr>
          <w:rFonts w:hint="eastAsia" w:ascii="宋体" w:hAnsi="宋体" w:eastAsia="宋体" w:cs="宋体"/>
          <w:color w:val="000000"/>
          <w:kern w:val="0"/>
          <w:sz w:val="24"/>
          <w:szCs w:val="24"/>
        </w:rPr>
      </w:pPr>
    </w:p>
    <w:p w14:paraId="559428F0">
      <w:pPr>
        <w:adjustRightInd w:val="0"/>
        <w:snapToGrid w:val="0"/>
        <w:spacing w:line="56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重庆望变电气（集团）股份有限公司（以下简称“公司”）于2025年4月24日召开了第四届董事会第十二次会议，审议通过了《关于减少注册资本并修改&lt;公司章程&gt;的议案》，会议同意变更公司注册资本并修改《公司章程》，并提请股东会授权公司经营管理层办理上述事项相关的备案登记等事宜。本事项尚需提交公司股东会审议，现将具体情况公告如下：</w:t>
      </w:r>
      <w:r>
        <w:rPr>
          <w:rFonts w:ascii="宋体" w:hAnsi="宋体" w:eastAsia="宋体" w:cs="宋体"/>
          <w:color w:val="000000"/>
          <w:kern w:val="0"/>
          <w:sz w:val="24"/>
          <w:szCs w:val="24"/>
        </w:rPr>
        <w:t xml:space="preserve"> </w:t>
      </w:r>
    </w:p>
    <w:p w14:paraId="2FF36039">
      <w:pPr>
        <w:adjustRightInd w:val="0"/>
        <w:snapToGrid w:val="0"/>
        <w:spacing w:line="560" w:lineRule="exact"/>
        <w:ind w:firstLine="482" w:firstLineChars="200"/>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一、减少注册资本情况</w:t>
      </w:r>
    </w:p>
    <w:p w14:paraId="48BC0C52">
      <w:pPr>
        <w:adjustRightInd w:val="0"/>
        <w:snapToGrid w:val="0"/>
        <w:spacing w:line="56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rPr>
        <w:t>鉴于公司《2024年限制性股票激励计划》首次授予激励对象的第一个解除限售期未达到解除限售条件及部分激励对象离职的情况，根据《上市公司股权激励管理办法》及公司《2024年限制性股票激励计划》的相关规定，公司拟对因2024年公司层面业绩考核不达标涉及的首次授予的激励对象合计57人第一期限售股共计76.50万股股票进行回购注销；拟对2024年首次授予的激励对象中2名已离职激励对象所持已获授但尚未解除限售的第二期和第三期限制性股票共计4.90万股进行全部回购注销。以上合计回购81.40万股股票，公司已于2024年4月24日召开第四届董事会第十二次会议和第四届监事会第十一次会议审议通过上述回购注销事宜，具体详见《重庆望变电气（集团）股份有限公司关于2024年限制性股票激励计划首次授予部分第一个解除限售期解除限售条件未成就暨回购注销部分限制性股票并调整回购价格的公告</w:t>
      </w:r>
      <w:bookmarkStart w:id="0" w:name="_GoBack"/>
      <w:r>
        <w:rPr>
          <w:rFonts w:hint="eastAsia" w:ascii="宋体" w:hAnsi="宋体" w:eastAsia="宋体" w:cs="宋体"/>
          <w:color w:val="000000"/>
          <w:kern w:val="0"/>
          <w:sz w:val="24"/>
          <w:szCs w:val="24"/>
          <w:highlight w:val="none"/>
        </w:rPr>
        <w:t>》（公告编号：2025-02</w:t>
      </w: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w:t>
      </w:r>
    </w:p>
    <w:bookmarkEnd w:id="0"/>
    <w:p w14:paraId="065E84C5">
      <w:pPr>
        <w:adjustRightInd w:val="0"/>
        <w:snapToGrid w:val="0"/>
        <w:spacing w:line="56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本次回购注销完成后,公司注册资本将由人民币33,316.7407万元变更为33,235.3407万元,公司总股本由33,316.7407万股变更为33,235.3407万股。</w:t>
      </w:r>
    </w:p>
    <w:p w14:paraId="6D0735A1">
      <w:pPr>
        <w:numPr>
          <w:ilvl w:val="0"/>
          <w:numId w:val="1"/>
        </w:numPr>
        <w:adjustRightInd w:val="0"/>
        <w:snapToGrid w:val="0"/>
        <w:spacing w:line="560" w:lineRule="exact"/>
        <w:ind w:firstLine="482" w:firstLineChars="20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章程修改情况</w:t>
      </w:r>
    </w:p>
    <w:tbl>
      <w:tblPr>
        <w:tblStyle w:val="9"/>
        <w:tblW w:w="8789"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395"/>
        <w:gridCol w:w="4394"/>
      </w:tblGrid>
      <w:tr w14:paraId="19E5A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62" w:hRule="atLeast"/>
        </w:trPr>
        <w:tc>
          <w:tcPr>
            <w:tcW w:w="4395" w:type="dxa"/>
            <w:tcBorders>
              <w:top w:val="single" w:color="000000" w:sz="2" w:space="0"/>
              <w:left w:val="single" w:color="000000" w:sz="2" w:space="0"/>
              <w:bottom w:val="single" w:color="000000" w:sz="2" w:space="0"/>
              <w:right w:val="single" w:color="000000" w:sz="2" w:space="0"/>
            </w:tcBorders>
          </w:tcPr>
          <w:p w14:paraId="2F9E5241">
            <w:pPr>
              <w:spacing w:before="156" w:beforeLines="50" w:line="560" w:lineRule="exact"/>
              <w:jc w:val="center"/>
              <w:rPr>
                <w:rFonts w:hint="eastAsia" w:ascii="仿宋" w:hAnsi="仿宋" w:eastAsia="仿宋" w:cs="仿宋"/>
                <w:sz w:val="24"/>
                <w:szCs w:val="32"/>
              </w:rPr>
            </w:pPr>
            <w:r>
              <w:rPr>
                <w:rFonts w:hint="eastAsia" w:ascii="仿宋" w:hAnsi="仿宋" w:eastAsia="仿宋" w:cs="仿宋"/>
                <w:b/>
                <w:bCs/>
                <w:sz w:val="24"/>
                <w:szCs w:val="32"/>
              </w:rPr>
              <w:t>修订前条款内容</w:t>
            </w:r>
          </w:p>
        </w:tc>
        <w:tc>
          <w:tcPr>
            <w:tcW w:w="4394" w:type="dxa"/>
            <w:tcBorders>
              <w:top w:val="single" w:color="000000" w:sz="2" w:space="0"/>
              <w:left w:val="single" w:color="000000" w:sz="2" w:space="0"/>
              <w:bottom w:val="single" w:color="000000" w:sz="2" w:space="0"/>
              <w:right w:val="single" w:color="000000" w:sz="2" w:space="0"/>
            </w:tcBorders>
          </w:tcPr>
          <w:p w14:paraId="70F71818">
            <w:pPr>
              <w:spacing w:before="156" w:beforeLines="50" w:line="560" w:lineRule="exact"/>
              <w:jc w:val="center"/>
              <w:rPr>
                <w:rFonts w:hint="eastAsia" w:ascii="仿宋" w:hAnsi="仿宋" w:eastAsia="仿宋" w:cs="仿宋"/>
                <w:sz w:val="24"/>
                <w:szCs w:val="32"/>
              </w:rPr>
            </w:pPr>
            <w:r>
              <w:rPr>
                <w:rFonts w:hint="eastAsia" w:ascii="仿宋" w:hAnsi="仿宋" w:eastAsia="仿宋" w:cs="仿宋"/>
                <w:b/>
                <w:bCs/>
                <w:sz w:val="24"/>
                <w:szCs w:val="32"/>
              </w:rPr>
              <w:t>修订后条款内容</w:t>
            </w:r>
          </w:p>
        </w:tc>
      </w:tr>
      <w:tr w14:paraId="12647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9" w:hRule="atLeast"/>
        </w:trPr>
        <w:tc>
          <w:tcPr>
            <w:tcW w:w="4395" w:type="dxa"/>
            <w:tcBorders>
              <w:top w:val="single" w:color="000000" w:sz="2" w:space="0"/>
              <w:left w:val="single" w:color="000000" w:sz="2" w:space="0"/>
              <w:bottom w:val="single" w:color="000000" w:sz="2" w:space="0"/>
              <w:right w:val="single" w:color="000000" w:sz="2" w:space="0"/>
            </w:tcBorders>
          </w:tcPr>
          <w:p w14:paraId="3AA52DBF">
            <w:pPr>
              <w:spacing w:before="156" w:beforeLines="50" w:line="560" w:lineRule="exact"/>
              <w:rPr>
                <w:rFonts w:hint="eastAsia" w:ascii="仿宋" w:hAnsi="仿宋" w:eastAsia="仿宋" w:cs="仿宋"/>
                <w:sz w:val="24"/>
                <w:szCs w:val="32"/>
              </w:rPr>
            </w:pPr>
            <w:r>
              <w:rPr>
                <w:rFonts w:hint="eastAsia" w:ascii="仿宋" w:hAnsi="仿宋" w:eastAsia="仿宋" w:cs="仿宋"/>
                <w:b/>
                <w:bCs/>
                <w:sz w:val="24"/>
                <w:szCs w:val="32"/>
              </w:rPr>
              <w:t xml:space="preserve">第六条 </w:t>
            </w:r>
            <w:r>
              <w:rPr>
                <w:rFonts w:hint="eastAsia" w:ascii="仿宋" w:hAnsi="仿宋" w:eastAsia="仿宋" w:cs="仿宋"/>
                <w:sz w:val="24"/>
                <w:szCs w:val="32"/>
              </w:rPr>
              <w:t xml:space="preserve"> 公司注册资本为人民币33,316.7407万元。</w:t>
            </w:r>
          </w:p>
        </w:tc>
        <w:tc>
          <w:tcPr>
            <w:tcW w:w="4394" w:type="dxa"/>
            <w:tcBorders>
              <w:top w:val="single" w:color="000000" w:sz="2" w:space="0"/>
              <w:left w:val="single" w:color="000000" w:sz="2" w:space="0"/>
              <w:bottom w:val="single" w:color="000000" w:sz="2" w:space="0"/>
              <w:right w:val="single" w:color="000000" w:sz="2" w:space="0"/>
            </w:tcBorders>
          </w:tcPr>
          <w:p w14:paraId="34765664">
            <w:pPr>
              <w:spacing w:before="156" w:beforeLines="50" w:line="560" w:lineRule="exact"/>
              <w:rPr>
                <w:rFonts w:hint="eastAsia" w:ascii="仿宋" w:hAnsi="仿宋" w:eastAsia="仿宋" w:cs="仿宋"/>
                <w:sz w:val="24"/>
                <w:szCs w:val="32"/>
              </w:rPr>
            </w:pPr>
            <w:r>
              <w:rPr>
                <w:rFonts w:hint="eastAsia" w:ascii="仿宋" w:hAnsi="仿宋" w:eastAsia="仿宋" w:cs="仿宋"/>
                <w:b/>
                <w:bCs/>
                <w:sz w:val="24"/>
                <w:szCs w:val="32"/>
              </w:rPr>
              <w:t xml:space="preserve">第六条  </w:t>
            </w:r>
            <w:r>
              <w:rPr>
                <w:rFonts w:hint="eastAsia" w:ascii="仿宋" w:hAnsi="仿宋" w:eastAsia="仿宋" w:cs="仿宋"/>
                <w:sz w:val="24"/>
                <w:szCs w:val="32"/>
              </w:rPr>
              <w:t>公司注册资本为人民币33,235.3407万元。</w:t>
            </w:r>
          </w:p>
        </w:tc>
      </w:tr>
      <w:tr w14:paraId="65BBC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43" w:hRule="atLeast"/>
        </w:trPr>
        <w:tc>
          <w:tcPr>
            <w:tcW w:w="4395" w:type="dxa"/>
            <w:tcBorders>
              <w:top w:val="single" w:color="000000" w:sz="2" w:space="0"/>
              <w:left w:val="single" w:color="000000" w:sz="2" w:space="0"/>
              <w:bottom w:val="single" w:color="000000" w:sz="2" w:space="0"/>
              <w:right w:val="single" w:color="000000" w:sz="2" w:space="0"/>
            </w:tcBorders>
          </w:tcPr>
          <w:p w14:paraId="6B115951">
            <w:pPr>
              <w:spacing w:before="156" w:beforeLines="50" w:line="560" w:lineRule="exact"/>
              <w:rPr>
                <w:rFonts w:hint="eastAsia" w:ascii="仿宋" w:hAnsi="仿宋" w:eastAsia="仿宋" w:cs="仿宋"/>
                <w:sz w:val="24"/>
                <w:szCs w:val="32"/>
              </w:rPr>
            </w:pPr>
            <w:r>
              <w:rPr>
                <w:rFonts w:hint="eastAsia" w:ascii="仿宋" w:hAnsi="仿宋" w:eastAsia="仿宋" w:cs="仿宋"/>
                <w:b/>
                <w:bCs/>
                <w:sz w:val="24"/>
                <w:szCs w:val="32"/>
              </w:rPr>
              <w:t xml:space="preserve">第二十条 </w:t>
            </w:r>
            <w:r>
              <w:rPr>
                <w:rFonts w:hint="eastAsia" w:ascii="仿宋" w:hAnsi="仿宋" w:eastAsia="仿宋" w:cs="仿宋"/>
                <w:sz w:val="24"/>
                <w:szCs w:val="32"/>
              </w:rPr>
              <w:t>公司股份总数为33,316.7407万股，公司发行的所有股份均为人民币普通股。</w:t>
            </w:r>
          </w:p>
        </w:tc>
        <w:tc>
          <w:tcPr>
            <w:tcW w:w="4394" w:type="dxa"/>
            <w:tcBorders>
              <w:top w:val="single" w:color="000000" w:sz="2" w:space="0"/>
              <w:left w:val="single" w:color="000000" w:sz="2" w:space="0"/>
              <w:bottom w:val="single" w:color="000000" w:sz="2" w:space="0"/>
              <w:right w:val="single" w:color="000000" w:sz="2" w:space="0"/>
            </w:tcBorders>
          </w:tcPr>
          <w:p w14:paraId="302FA846">
            <w:pPr>
              <w:spacing w:before="156" w:beforeLines="50" w:line="560" w:lineRule="exact"/>
              <w:rPr>
                <w:rFonts w:hint="eastAsia" w:ascii="仿宋" w:hAnsi="仿宋" w:eastAsia="仿宋" w:cs="仿宋"/>
                <w:sz w:val="24"/>
                <w:szCs w:val="32"/>
              </w:rPr>
            </w:pPr>
            <w:r>
              <w:rPr>
                <w:rFonts w:hint="eastAsia" w:ascii="仿宋" w:hAnsi="仿宋" w:eastAsia="仿宋" w:cs="仿宋"/>
                <w:b/>
                <w:bCs/>
                <w:sz w:val="24"/>
                <w:szCs w:val="32"/>
              </w:rPr>
              <w:t>第二十条</w:t>
            </w:r>
            <w:r>
              <w:rPr>
                <w:rFonts w:ascii="仿宋" w:hAnsi="仿宋" w:eastAsia="仿宋" w:cs="仿宋"/>
                <w:b/>
                <w:bCs/>
                <w:sz w:val="24"/>
                <w:szCs w:val="32"/>
              </w:rPr>
              <w:t xml:space="preserve"> </w:t>
            </w:r>
            <w:r>
              <w:rPr>
                <w:rFonts w:hint="eastAsia" w:ascii="仿宋" w:hAnsi="仿宋" w:eastAsia="仿宋" w:cs="仿宋"/>
                <w:sz w:val="24"/>
                <w:szCs w:val="32"/>
              </w:rPr>
              <w:t>公司股份总数为33,235.3407万股，公司发行的所有股份均为人民币普通股。</w:t>
            </w:r>
          </w:p>
        </w:tc>
      </w:tr>
    </w:tbl>
    <w:p w14:paraId="165F5711">
      <w:pPr>
        <w:adjustRightInd w:val="0"/>
        <w:snapToGrid w:val="0"/>
        <w:spacing w:line="560" w:lineRule="exact"/>
        <w:rPr>
          <w:rFonts w:hint="eastAsia" w:ascii="宋体" w:hAnsi="宋体" w:eastAsia="宋体" w:cs="宋体"/>
          <w:b/>
          <w:bCs/>
          <w:color w:val="000000"/>
          <w:kern w:val="0"/>
          <w:sz w:val="24"/>
          <w:szCs w:val="24"/>
        </w:rPr>
      </w:pPr>
    </w:p>
    <w:p w14:paraId="62894458">
      <w:pPr>
        <w:spacing w:before="156" w:beforeLines="50"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除上述条款外，原《公司章程》中的其他条款内容不变，修订后的《公司章程》将于同日在上海证券交易所网站（</w:t>
      </w:r>
      <w:r>
        <w:fldChar w:fldCharType="begin"/>
      </w:r>
      <w:r>
        <w:instrText xml:space="preserve"> HYPERLINK "https://www.sse.com.cn" </w:instrText>
      </w:r>
      <w:r>
        <w:fldChar w:fldCharType="separate"/>
      </w:r>
      <w:r>
        <w:rPr>
          <w:rStyle w:val="12"/>
          <w:rFonts w:hint="eastAsia" w:ascii="宋体" w:hAnsi="宋体" w:eastAsia="宋体" w:cs="宋体"/>
          <w:sz w:val="24"/>
          <w:szCs w:val="24"/>
        </w:rPr>
        <w:t>www.sse.com.cn</w:t>
      </w:r>
      <w:r>
        <w:rPr>
          <w:rStyle w:val="12"/>
          <w:rFonts w:hint="eastAsia" w:ascii="宋体" w:hAnsi="宋体" w:eastAsia="宋体" w:cs="宋体"/>
          <w:sz w:val="24"/>
          <w:szCs w:val="24"/>
        </w:rPr>
        <w:fldChar w:fldCharType="end"/>
      </w:r>
      <w:r>
        <w:rPr>
          <w:rFonts w:hint="eastAsia" w:ascii="宋体" w:hAnsi="宋体" w:eastAsia="宋体" w:cs="宋体"/>
          <w:sz w:val="24"/>
          <w:szCs w:val="24"/>
        </w:rPr>
        <w:t>）予以披露。</w:t>
      </w:r>
    </w:p>
    <w:p w14:paraId="6FAAA682">
      <w:pPr>
        <w:adjustRightInd w:val="0"/>
        <w:snapToGrid w:val="0"/>
        <w:spacing w:line="560" w:lineRule="exact"/>
        <w:ind w:firstLine="480" w:firstLineChars="200"/>
        <w:rPr>
          <w:rFonts w:hint="eastAsia" w:ascii="宋体" w:hAnsi="宋体" w:eastAsia="宋体" w:cs="宋体"/>
          <w:color w:val="000000"/>
          <w:kern w:val="0"/>
          <w:sz w:val="24"/>
          <w:szCs w:val="24"/>
        </w:rPr>
      </w:pPr>
    </w:p>
    <w:p w14:paraId="33D0A714">
      <w:pPr>
        <w:adjustRightInd w:val="0"/>
        <w:snapToGrid w:val="0"/>
        <w:spacing w:line="56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上述变更最终以工商登记机关核准的内容为准。</w:t>
      </w:r>
    </w:p>
    <w:p w14:paraId="14800F77">
      <w:pPr>
        <w:adjustRightInd w:val="0"/>
        <w:snapToGrid w:val="0"/>
        <w:spacing w:line="560" w:lineRule="exact"/>
        <w:ind w:firstLine="480" w:firstLineChars="200"/>
        <w:rPr>
          <w:rFonts w:hint="eastAsia" w:ascii="宋体" w:hAnsi="宋体" w:eastAsia="宋体" w:cs="宋体"/>
          <w:color w:val="000000"/>
          <w:kern w:val="0"/>
          <w:sz w:val="24"/>
          <w:szCs w:val="24"/>
        </w:rPr>
      </w:pPr>
    </w:p>
    <w:p w14:paraId="22CAB0E6">
      <w:pPr>
        <w:adjustRightInd w:val="0"/>
        <w:snapToGrid w:val="0"/>
        <w:spacing w:line="56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特此公告。</w:t>
      </w:r>
    </w:p>
    <w:p w14:paraId="352DB276">
      <w:pPr>
        <w:adjustRightInd w:val="0"/>
        <w:snapToGrid w:val="0"/>
        <w:spacing w:line="560" w:lineRule="exact"/>
        <w:ind w:firstLine="480" w:firstLineChars="200"/>
        <w:jc w:val="right"/>
        <w:rPr>
          <w:rFonts w:hint="eastAsia" w:ascii="宋体" w:hAnsi="宋体" w:eastAsia="宋体"/>
          <w:color w:val="000000"/>
          <w:sz w:val="24"/>
          <w:szCs w:val="24"/>
        </w:rPr>
      </w:pPr>
      <w:r>
        <w:rPr>
          <w:rFonts w:hint="eastAsia" w:ascii="宋体" w:hAnsi="宋体" w:eastAsia="宋体" w:cs="宋体"/>
          <w:color w:val="000000"/>
          <w:kern w:val="0"/>
          <w:sz w:val="24"/>
          <w:szCs w:val="24"/>
        </w:rPr>
        <w:t>重庆望变电气（集团）股份有限公司</w:t>
      </w:r>
      <w:r>
        <w:rPr>
          <w:rFonts w:hint="eastAsia" w:ascii="宋体" w:hAnsi="宋体" w:eastAsia="宋体"/>
          <w:color w:val="000000"/>
          <w:sz w:val="24"/>
          <w:szCs w:val="24"/>
        </w:rPr>
        <w:t>董事会</w:t>
      </w:r>
    </w:p>
    <w:p w14:paraId="35242D2A">
      <w:pPr>
        <w:adjustRightInd w:val="0"/>
        <w:snapToGrid w:val="0"/>
        <w:spacing w:line="560" w:lineRule="exact"/>
        <w:ind w:firstLine="480" w:firstLineChars="200"/>
        <w:jc w:val="right"/>
        <w:rPr>
          <w:rFonts w:hint="eastAsia" w:ascii="宋体" w:hAnsi="宋体" w:eastAsia="宋体"/>
          <w:color w:val="000000"/>
          <w:sz w:val="24"/>
          <w:szCs w:val="24"/>
        </w:rPr>
      </w:pPr>
      <w:r>
        <w:rPr>
          <w:rFonts w:ascii="宋体" w:hAnsi="宋体" w:eastAsia="宋体"/>
          <w:color w:val="000000"/>
          <w:sz w:val="24"/>
          <w:szCs w:val="24"/>
        </w:rPr>
        <w:t>202</w:t>
      </w:r>
      <w:r>
        <w:rPr>
          <w:rFonts w:hint="eastAsia" w:ascii="宋体" w:hAnsi="宋体" w:eastAsia="宋体"/>
          <w:color w:val="000000"/>
          <w:sz w:val="24"/>
          <w:szCs w:val="24"/>
        </w:rPr>
        <w:t>5年4月26日</w:t>
      </w:r>
    </w:p>
    <w:p w14:paraId="76AA2E44">
      <w:pPr>
        <w:adjustRightInd w:val="0"/>
        <w:snapToGrid w:val="0"/>
        <w:spacing w:line="560" w:lineRule="exact"/>
        <w:ind w:firstLine="480" w:firstLineChars="200"/>
        <w:rPr>
          <w:rFonts w:hint="eastAsia" w:ascii="宋体" w:hAnsi="宋体" w:eastAsia="宋体"/>
          <w:color w:val="000000"/>
          <w:sz w:val="24"/>
          <w:szCs w:val="24"/>
        </w:rPr>
      </w:pPr>
    </w:p>
    <w:p w14:paraId="79BDD8F7">
      <w:pPr>
        <w:adjustRightInd w:val="0"/>
        <w:snapToGrid w:val="0"/>
        <w:spacing w:line="560" w:lineRule="exact"/>
        <w:ind w:firstLine="600" w:firstLineChars="200"/>
        <w:rPr>
          <w:rFonts w:hint="eastAsia" w:ascii="仿宋_GB2312" w:hAnsi="宋体" w:eastAsia="仿宋_GB2312" w:cs="宋体"/>
          <w:kern w:val="0"/>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1207842"/>
      <w:docPartObj>
        <w:docPartGallery w:val="autotext"/>
      </w:docPartObj>
    </w:sdtPr>
    <w:sdtContent>
      <w:p w14:paraId="0DF292D9">
        <w:pPr>
          <w:pStyle w:val="5"/>
          <w:jc w:val="center"/>
        </w:pPr>
        <w:r>
          <w:fldChar w:fldCharType="begin"/>
        </w:r>
        <w:r>
          <w:instrText xml:space="preserve">PAGE   \* MERGEFORMAT</w:instrText>
        </w:r>
        <w:r>
          <w:fldChar w:fldCharType="separate"/>
        </w:r>
        <w:r>
          <w:rPr>
            <w:lang w:val="zh-CN"/>
          </w:rPr>
          <w:t>2</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21871F"/>
    <w:multiLevelType w:val="singleLevel"/>
    <w:tmpl w:val="8521871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1827E2"/>
    <w:rsid w:val="0008555B"/>
    <w:rsid w:val="000B1A1F"/>
    <w:rsid w:val="000C7349"/>
    <w:rsid w:val="00113A09"/>
    <w:rsid w:val="00123266"/>
    <w:rsid w:val="001301B5"/>
    <w:rsid w:val="0014777F"/>
    <w:rsid w:val="00185707"/>
    <w:rsid w:val="00192BD0"/>
    <w:rsid w:val="001A727A"/>
    <w:rsid w:val="001D06CF"/>
    <w:rsid w:val="001F2458"/>
    <w:rsid w:val="00207B64"/>
    <w:rsid w:val="00215499"/>
    <w:rsid w:val="00225FE6"/>
    <w:rsid w:val="00252550"/>
    <w:rsid w:val="00273620"/>
    <w:rsid w:val="00286796"/>
    <w:rsid w:val="002D7525"/>
    <w:rsid w:val="00327E6D"/>
    <w:rsid w:val="0034535F"/>
    <w:rsid w:val="003571E3"/>
    <w:rsid w:val="00391A1B"/>
    <w:rsid w:val="003E205A"/>
    <w:rsid w:val="003E38F1"/>
    <w:rsid w:val="004870A2"/>
    <w:rsid w:val="004A790E"/>
    <w:rsid w:val="004B2D8B"/>
    <w:rsid w:val="004B5841"/>
    <w:rsid w:val="004D041E"/>
    <w:rsid w:val="004D0E8E"/>
    <w:rsid w:val="00522BE2"/>
    <w:rsid w:val="00541A5D"/>
    <w:rsid w:val="005429C2"/>
    <w:rsid w:val="0055216A"/>
    <w:rsid w:val="005A2954"/>
    <w:rsid w:val="006150E2"/>
    <w:rsid w:val="00641F09"/>
    <w:rsid w:val="0066121B"/>
    <w:rsid w:val="006704CD"/>
    <w:rsid w:val="006D110D"/>
    <w:rsid w:val="006E4DD1"/>
    <w:rsid w:val="006E4E29"/>
    <w:rsid w:val="00704F5A"/>
    <w:rsid w:val="00717BFB"/>
    <w:rsid w:val="00726F44"/>
    <w:rsid w:val="00736608"/>
    <w:rsid w:val="00787078"/>
    <w:rsid w:val="007B073D"/>
    <w:rsid w:val="007B1916"/>
    <w:rsid w:val="007C3FFA"/>
    <w:rsid w:val="008320FC"/>
    <w:rsid w:val="008F65DD"/>
    <w:rsid w:val="0090186C"/>
    <w:rsid w:val="00915D39"/>
    <w:rsid w:val="00927CFD"/>
    <w:rsid w:val="00947C32"/>
    <w:rsid w:val="009641BB"/>
    <w:rsid w:val="00984D32"/>
    <w:rsid w:val="009B47DE"/>
    <w:rsid w:val="009D1A30"/>
    <w:rsid w:val="009E3152"/>
    <w:rsid w:val="00A032FD"/>
    <w:rsid w:val="00A51C23"/>
    <w:rsid w:val="00A823F8"/>
    <w:rsid w:val="00AC3419"/>
    <w:rsid w:val="00B05852"/>
    <w:rsid w:val="00B26F75"/>
    <w:rsid w:val="00B31343"/>
    <w:rsid w:val="00B80F86"/>
    <w:rsid w:val="00BB00BD"/>
    <w:rsid w:val="00BB61B6"/>
    <w:rsid w:val="00BC233A"/>
    <w:rsid w:val="00BF7BDB"/>
    <w:rsid w:val="00C3415D"/>
    <w:rsid w:val="00C47186"/>
    <w:rsid w:val="00C83ADD"/>
    <w:rsid w:val="00D43349"/>
    <w:rsid w:val="00D45861"/>
    <w:rsid w:val="00D46F41"/>
    <w:rsid w:val="00D8189C"/>
    <w:rsid w:val="00DB744D"/>
    <w:rsid w:val="00DD62E6"/>
    <w:rsid w:val="00DF73E8"/>
    <w:rsid w:val="00E301F1"/>
    <w:rsid w:val="00E558AE"/>
    <w:rsid w:val="00E95F43"/>
    <w:rsid w:val="00EC496E"/>
    <w:rsid w:val="00EE084C"/>
    <w:rsid w:val="00F0268C"/>
    <w:rsid w:val="00F66C92"/>
    <w:rsid w:val="00F670DD"/>
    <w:rsid w:val="00FE6306"/>
    <w:rsid w:val="00FF7741"/>
    <w:rsid w:val="4D3C7F6B"/>
    <w:rsid w:val="5150387B"/>
    <w:rsid w:val="521827E2"/>
    <w:rsid w:val="54CA7B2B"/>
    <w:rsid w:val="67E60135"/>
    <w:rsid w:val="6BFB5D7F"/>
    <w:rsid w:val="77D11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3">
    <w:name w:val="annotation text"/>
    <w:basedOn w:val="1"/>
    <w:link w:val="18"/>
    <w:qFormat/>
    <w:uiPriority w:val="0"/>
    <w:pPr>
      <w:jc w:val="left"/>
    </w:pPr>
  </w:style>
  <w:style w:type="paragraph" w:styleId="4">
    <w:name w:val="Balloon Text"/>
    <w:basedOn w:val="1"/>
    <w:link w:val="17"/>
    <w:qFormat/>
    <w:uiPriority w:val="0"/>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Title"/>
    <w:basedOn w:val="1"/>
    <w:next w:val="1"/>
    <w:qFormat/>
    <w:uiPriority w:val="10"/>
    <w:pPr>
      <w:spacing w:before="240" w:after="60"/>
      <w:jc w:val="center"/>
      <w:outlineLvl w:val="0"/>
    </w:pPr>
    <w:rPr>
      <w:rFonts w:eastAsia="宋体" w:asciiTheme="majorHAnsi" w:hAnsiTheme="majorHAnsi" w:cstheme="majorBidi"/>
      <w:b/>
      <w:bCs/>
      <w:sz w:val="30"/>
      <w:szCs w:val="32"/>
    </w:rPr>
  </w:style>
  <w:style w:type="paragraph" w:styleId="8">
    <w:name w:val="annotation subject"/>
    <w:basedOn w:val="3"/>
    <w:next w:val="3"/>
    <w:link w:val="19"/>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character" w:styleId="13">
    <w:name w:val="annotation reference"/>
    <w:basedOn w:val="11"/>
    <w:qFormat/>
    <w:uiPriority w:val="0"/>
    <w:rPr>
      <w:sz w:val="21"/>
      <w:szCs w:val="21"/>
    </w:rPr>
  </w:style>
  <w:style w:type="character" w:customStyle="1" w:styleId="14">
    <w:name w:val="页眉 字符"/>
    <w:basedOn w:val="11"/>
    <w:link w:val="6"/>
    <w:qFormat/>
    <w:uiPriority w:val="0"/>
    <w:rPr>
      <w:kern w:val="2"/>
      <w:sz w:val="18"/>
      <w:szCs w:val="18"/>
    </w:rPr>
  </w:style>
  <w:style w:type="character" w:customStyle="1" w:styleId="15">
    <w:name w:val="页脚 字符"/>
    <w:basedOn w:val="11"/>
    <w:link w:val="5"/>
    <w:qFormat/>
    <w:uiPriority w:val="99"/>
    <w:rPr>
      <w:kern w:val="2"/>
      <w:sz w:val="18"/>
      <w:szCs w:val="18"/>
    </w:rPr>
  </w:style>
  <w:style w:type="paragraph" w:styleId="16">
    <w:name w:val="List Paragraph"/>
    <w:basedOn w:val="1"/>
    <w:qFormat/>
    <w:uiPriority w:val="34"/>
    <w:pPr>
      <w:ind w:firstLine="420" w:firstLineChars="200"/>
    </w:pPr>
    <w:rPr>
      <w:rFonts w:ascii="Calibri" w:hAnsi="Calibri" w:eastAsia="宋体" w:cs="Times New Roman"/>
    </w:rPr>
  </w:style>
  <w:style w:type="character" w:customStyle="1" w:styleId="17">
    <w:name w:val="批注框文本 字符"/>
    <w:basedOn w:val="11"/>
    <w:link w:val="4"/>
    <w:qFormat/>
    <w:uiPriority w:val="0"/>
    <w:rPr>
      <w:kern w:val="2"/>
      <w:sz w:val="18"/>
      <w:szCs w:val="18"/>
    </w:rPr>
  </w:style>
  <w:style w:type="character" w:customStyle="1" w:styleId="18">
    <w:name w:val="批注文字 字符"/>
    <w:basedOn w:val="11"/>
    <w:link w:val="3"/>
    <w:qFormat/>
    <w:uiPriority w:val="0"/>
    <w:rPr>
      <w:kern w:val="2"/>
      <w:sz w:val="21"/>
      <w:szCs w:val="22"/>
    </w:rPr>
  </w:style>
  <w:style w:type="character" w:customStyle="1" w:styleId="19">
    <w:name w:val="批注主题 字符"/>
    <w:basedOn w:val="18"/>
    <w:link w:val="8"/>
    <w:qFormat/>
    <w:uiPriority w:val="0"/>
    <w:rPr>
      <w:b/>
      <w:bCs/>
      <w:kern w:val="2"/>
      <w:sz w:val="21"/>
      <w:szCs w:val="22"/>
    </w:rPr>
  </w:style>
  <w:style w:type="paragraph" w:customStyle="1" w:styleId="20">
    <w:name w:val="Revision"/>
    <w:hidden/>
    <w:unhideWhenUsed/>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926</Words>
  <Characters>1077</Characters>
  <Lines>29</Lines>
  <Paragraphs>22</Paragraphs>
  <TotalTime>8</TotalTime>
  <ScaleCrop>false</ScaleCrop>
  <LinksUpToDate>false</LinksUpToDate>
  <CharactersWithSpaces>1101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2022-05-10T03:26:00Z</dcterms:created>
  <dc:creator>BJB-ZB-03</dc:creator>
  <cp:lastModifiedBy>雯亦</cp:lastModifiedBy>
  <dcterms:modified xsi:type="dcterms:W3CDTF">2025-04-24T06:11:00Z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eyJoZGlkIjoiZTQzZmRmZDMxMjkwMDE2NTk0ZWQ1ZWYwMzRmYjVhNmUiLCJ1c2VySWQiOiI2NDQwNzQxNTQifQ==</vt:lpwstr>
  </property>
  <property fmtid="{D5CDD505-2E9C-101B-9397-08002B2CF9AE}" pid="4" name="ICV">
    <vt:lpwstr>A0DD27D53338424782951785BC215414_13</vt:lpwstr>
  </property>
</Properties>
</file>