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hint="eastAsia" w:asciiTheme="minorEastAsia" w:hAnsiTheme="minorEastAsia"/>
          <w:bCs/>
          <w:sz w:val="24"/>
          <w:szCs w:val="24"/>
        </w:rPr>
      </w:pPr>
      <w:r>
        <w:rPr>
          <w:rFonts w:hint="eastAsia" w:asciiTheme="minorEastAsia" w:hAnsiTheme="minorEastAsia"/>
          <w:bCs/>
          <w:sz w:val="24"/>
          <w:szCs w:val="24"/>
        </w:rPr>
        <w:t>证券代码：</w:t>
      </w:r>
      <w:sdt>
        <w:sdtPr>
          <w:rPr>
            <w:rFonts w:hint="eastAsia" w:asciiTheme="minorEastAsia" w:hAnsiTheme="minorEastAsia"/>
            <w:bCs/>
            <w:sz w:val="24"/>
            <w:szCs w:val="24"/>
          </w:rPr>
          <w:alias w:val="公司代码"/>
          <w:tag w:val="_GBC_62ef04c8e14e4c76b304f7775b7d8722"/>
          <w:id w:val="-1"/>
          <w:lock w:val="sdtLocked"/>
          <w:placeholder>
            <w:docPart w:val="GBC22222222222222222222222222222"/>
          </w:placeholder>
        </w:sdtPr>
        <w:sdtEndPr>
          <w:rPr>
            <w:rFonts w:hint="eastAsia" w:asciiTheme="minorEastAsia" w:hAnsiTheme="minorEastAsia"/>
            <w:bCs/>
            <w:sz w:val="24"/>
            <w:szCs w:val="24"/>
          </w:rPr>
        </w:sdtEndPr>
        <w:sdtContent>
          <w:r>
            <w:rPr>
              <w:rFonts w:asciiTheme="minorEastAsia" w:hAnsiTheme="minorEastAsia"/>
              <w:bCs/>
              <w:sz w:val="24"/>
              <w:szCs w:val="24"/>
            </w:rPr>
            <w:t>603191</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证券简称：</w:t>
      </w:r>
      <w:sdt>
        <w:sdtPr>
          <w:rPr>
            <w:rFonts w:hint="eastAsia" w:asciiTheme="minorEastAsia" w:hAnsiTheme="minorEastAsia"/>
            <w:bCs/>
            <w:sz w:val="24"/>
            <w:szCs w:val="24"/>
          </w:rPr>
          <w:alias w:val="公司简称"/>
          <w:tag w:val="_GBC_81c31f6c68a741c1acb30ff1595bc381"/>
          <w:id w:val="273114740"/>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望变电气</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公告编号：</w:t>
      </w:r>
      <w:sdt>
        <w:sdtPr>
          <w:rPr>
            <w:rFonts w:hint="eastAsia" w:asciiTheme="minorEastAsia" w:hAnsiTheme="minorEastAsia"/>
            <w:bCs/>
            <w:sz w:val="24"/>
            <w:szCs w:val="24"/>
          </w:rPr>
          <w:alias w:val="临时公告编号"/>
          <w:tag w:val="_GBC_51438e46cb944a2bb6b9cb5e9d53d512"/>
          <w:id w:val="1376890213"/>
          <w:lock w:val="sdtLocked"/>
          <w:placeholder>
            <w:docPart w:val="GBC22222222222222222222222222222"/>
          </w:placeholder>
        </w:sdtPr>
        <w:sdtEndPr>
          <w:rPr>
            <w:rFonts w:hint="default" w:asciiTheme="minorEastAsia" w:hAnsiTheme="minorEastAsia"/>
            <w:bCs/>
            <w:sz w:val="24"/>
            <w:szCs w:val="24"/>
          </w:rPr>
        </w:sdtEndPr>
        <w:sdtContent>
          <w:r>
            <w:rPr>
              <w:rFonts w:hint="eastAsia" w:asciiTheme="minorEastAsia" w:hAnsiTheme="minorEastAsia"/>
              <w:bCs/>
              <w:sz w:val="24"/>
              <w:szCs w:val="24"/>
            </w:rPr>
            <w:t>202</w:t>
          </w:r>
          <w:r>
            <w:rPr>
              <w:rFonts w:asciiTheme="minorEastAsia" w:hAnsiTheme="minorEastAsia"/>
              <w:bCs/>
              <w:sz w:val="24"/>
              <w:szCs w:val="24"/>
            </w:rPr>
            <w:t>6-019</w:t>
          </w:r>
        </w:sdtContent>
      </w:sdt>
    </w:p>
    <w:p w14:paraId="587F7689">
      <w:pPr>
        <w:jc w:val="right"/>
        <w:rPr>
          <w:rFonts w:hint="eastAsia" w:asciiTheme="minorEastAsia" w:hAnsiTheme="minorEastAsia"/>
          <w:b/>
          <w:sz w:val="24"/>
          <w:szCs w:val="24"/>
        </w:rPr>
      </w:pPr>
    </w:p>
    <w:p w14:paraId="5680CDEA">
      <w:pPr>
        <w:jc w:val="right"/>
        <w:rPr>
          <w:rFonts w:hint="eastAsia" w:asciiTheme="minorEastAsia" w:hAnsiTheme="minorEastAsia"/>
          <w:b/>
          <w:sz w:val="24"/>
          <w:szCs w:val="24"/>
        </w:rPr>
      </w:pPr>
    </w:p>
    <w:p w14:paraId="16CA3FB6">
      <w:pPr>
        <w:adjustRightInd w:val="0"/>
        <w:snapToGrid w:val="0"/>
        <w:spacing w:line="360" w:lineRule="auto"/>
        <w:jc w:val="center"/>
        <w:rPr>
          <w:rFonts w:hint="eastAsia" w:ascii="黑体" w:hAnsi="黑体" w:eastAsia="黑体"/>
          <w:b/>
          <w:color w:val="FF0000"/>
          <w:sz w:val="36"/>
          <w:szCs w:val="24"/>
        </w:rPr>
      </w:pPr>
      <w:r>
        <w:rPr>
          <w:rFonts w:hint="eastAsia" w:ascii="黑体" w:hAnsi="黑体" w:eastAsia="黑体"/>
          <w:b/>
          <w:color w:val="FF0000"/>
          <w:sz w:val="36"/>
          <w:szCs w:val="24"/>
        </w:rPr>
        <w:t>重庆望变电气（集团）股份有限公司</w:t>
      </w:r>
    </w:p>
    <w:p w14:paraId="490E0E67">
      <w:pPr>
        <w:adjustRightInd w:val="0"/>
        <w:snapToGrid w:val="0"/>
        <w:spacing w:line="360" w:lineRule="auto"/>
        <w:jc w:val="center"/>
        <w:rPr>
          <w:rFonts w:hint="eastAsia" w:ascii="黑体" w:hAnsi="黑体" w:eastAsia="黑体"/>
          <w:b/>
          <w:color w:val="FF0000"/>
          <w:sz w:val="36"/>
          <w:szCs w:val="24"/>
        </w:rPr>
      </w:pPr>
      <w:r>
        <w:rPr>
          <w:rFonts w:hint="eastAsia" w:ascii="黑体" w:hAnsi="黑体" w:eastAsia="黑体"/>
          <w:b/>
          <w:color w:val="FF0000"/>
          <w:sz w:val="36"/>
          <w:szCs w:val="24"/>
        </w:rPr>
        <w:t>202</w:t>
      </w:r>
      <w:r>
        <w:rPr>
          <w:rFonts w:ascii="黑体" w:hAnsi="黑体" w:eastAsia="黑体"/>
          <w:b/>
          <w:color w:val="FF0000"/>
          <w:sz w:val="36"/>
          <w:szCs w:val="24"/>
        </w:rPr>
        <w:t>6</w:t>
      </w:r>
      <w:r>
        <w:rPr>
          <w:rFonts w:hint="eastAsia" w:ascii="黑体" w:hAnsi="黑体" w:eastAsia="黑体"/>
          <w:b/>
          <w:color w:val="FF0000"/>
          <w:sz w:val="36"/>
          <w:szCs w:val="24"/>
        </w:rPr>
        <w:t>年</w:t>
      </w:r>
      <w:r>
        <w:rPr>
          <w:rFonts w:ascii="黑体" w:hAnsi="黑体" w:eastAsia="黑体"/>
          <w:b/>
          <w:color w:val="FF0000"/>
          <w:sz w:val="36"/>
          <w:szCs w:val="24"/>
        </w:rPr>
        <w:t>2</w:t>
      </w:r>
      <w:r>
        <w:rPr>
          <w:rFonts w:hint="eastAsia" w:ascii="黑体" w:hAnsi="黑体" w:eastAsia="黑体"/>
          <w:b/>
          <w:color w:val="FF0000"/>
          <w:sz w:val="36"/>
          <w:szCs w:val="24"/>
        </w:rPr>
        <w:t>月对子公司提供担保的进展公告</w:t>
      </w:r>
    </w:p>
    <w:p w14:paraId="1FE22859">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hint="eastAsia"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4232B147">
      <w:pPr>
        <w:widowControl/>
        <w:adjustRightInd w:val="0"/>
        <w:snapToGrid w:val="0"/>
        <w:spacing w:line="560" w:lineRule="exact"/>
        <w:ind w:firstLine="600"/>
        <w:jc w:val="right"/>
        <w:rPr>
          <w:rFonts w:hint="eastAsia" w:cs="仿宋_GB2312" w:asciiTheme="minorEastAsia" w:hAnsiTheme="minorEastAsia"/>
          <w:sz w:val="24"/>
          <w:szCs w:val="24"/>
        </w:rPr>
      </w:pPr>
    </w:p>
    <w:p w14:paraId="2DC7CD8E">
      <w:pPr>
        <w:widowControl/>
        <w:adjustRightInd w:val="0"/>
        <w:snapToGrid w:val="0"/>
        <w:spacing w:line="560" w:lineRule="exact"/>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p w14:paraId="3E80AAA3">
      <w:pPr>
        <w:widowControl/>
        <w:numPr>
          <w:ilvl w:val="0"/>
          <w:numId w:val="1"/>
        </w:numPr>
        <w:adjustRightInd w:val="0"/>
        <w:snapToGrid w:val="0"/>
        <w:spacing w:line="560" w:lineRule="exact"/>
        <w:ind w:left="0" w:firstLine="482" w:firstLineChars="200"/>
        <w:rPr>
          <w:rFonts w:hint="eastAsia" w:ascii="宋体" w:hAnsi="宋体" w:eastAsia="宋体" w:cstheme="minorEastAsia"/>
          <w:b/>
          <w:bCs/>
          <w:sz w:val="24"/>
          <w:szCs w:val="24"/>
        </w:rPr>
      </w:pPr>
      <w:r>
        <w:rPr>
          <w:rFonts w:hint="eastAsia" w:ascii="宋体" w:hAnsi="宋体" w:eastAsia="宋体"/>
          <w:b/>
          <w:sz w:val="24"/>
          <w:szCs w:val="24"/>
        </w:rPr>
        <w:t>被担保人：</w:t>
      </w:r>
      <w:r>
        <w:rPr>
          <w:rFonts w:hint="eastAsia" w:ascii="宋体" w:hAnsi="宋体" w:eastAsia="宋体"/>
          <w:sz w:val="24"/>
          <w:szCs w:val="24"/>
        </w:rPr>
        <w:t>202</w:t>
      </w:r>
      <w:r>
        <w:rPr>
          <w:rFonts w:ascii="宋体" w:hAnsi="宋体" w:eastAsia="宋体"/>
          <w:sz w:val="24"/>
          <w:szCs w:val="24"/>
        </w:rPr>
        <w:t>6</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月1日-</w:t>
      </w:r>
      <w:r>
        <w:rPr>
          <w:rFonts w:ascii="宋体" w:hAnsi="宋体" w:eastAsia="宋体"/>
          <w:sz w:val="24"/>
          <w:szCs w:val="24"/>
        </w:rPr>
        <w:t>2</w:t>
      </w:r>
      <w:r>
        <w:rPr>
          <w:rFonts w:hint="eastAsia" w:ascii="宋体" w:hAnsi="宋体" w:eastAsia="宋体"/>
          <w:sz w:val="24"/>
          <w:szCs w:val="24"/>
        </w:rPr>
        <w:t>月</w:t>
      </w:r>
      <w:r>
        <w:rPr>
          <w:rFonts w:ascii="宋体" w:hAnsi="宋体" w:eastAsia="宋体"/>
          <w:sz w:val="24"/>
          <w:szCs w:val="24"/>
        </w:rPr>
        <w:t>28</w:t>
      </w:r>
      <w:r>
        <w:rPr>
          <w:rFonts w:hint="eastAsia" w:ascii="宋体" w:hAnsi="宋体" w:eastAsia="宋体"/>
          <w:sz w:val="24"/>
          <w:szCs w:val="24"/>
        </w:rPr>
        <w:t>日期间，重庆望变电气（集团）股份有限公司(以下简称“公司”或“望变电气”)及下属子公司无对外新增担保</w:t>
      </w:r>
      <w:r>
        <w:rPr>
          <w:rFonts w:hint="eastAsia" w:ascii="宋体" w:hAnsi="宋体" w:eastAsia="宋体"/>
          <w:sz w:val="24"/>
          <w:szCs w:val="24"/>
          <w:lang w:val="en-US" w:eastAsia="zh-CN"/>
        </w:rPr>
        <w:t>合同</w:t>
      </w:r>
      <w:r>
        <w:rPr>
          <w:rFonts w:hint="eastAsia" w:ascii="宋体" w:hAnsi="宋体" w:eastAsia="宋体"/>
          <w:sz w:val="24"/>
          <w:szCs w:val="24"/>
        </w:rPr>
        <w:t>情况;截止202</w:t>
      </w:r>
      <w:r>
        <w:rPr>
          <w:rFonts w:ascii="宋体" w:hAnsi="宋体" w:eastAsia="宋体"/>
          <w:sz w:val="24"/>
          <w:szCs w:val="24"/>
        </w:rPr>
        <w:t>6</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月末，公司对外担保余额为</w:t>
      </w:r>
      <w:r>
        <w:rPr>
          <w:rFonts w:ascii="宋体" w:hAnsi="宋体" w:eastAsia="宋体" w:cs="宋体"/>
          <w:bCs/>
          <w:sz w:val="24"/>
          <w:szCs w:val="24"/>
        </w:rPr>
        <w:t>68,653.12</w:t>
      </w:r>
      <w:r>
        <w:rPr>
          <w:rFonts w:hint="eastAsia" w:ascii="宋体" w:hAnsi="宋体" w:eastAsia="宋体"/>
          <w:sz w:val="24"/>
          <w:szCs w:val="24"/>
        </w:rPr>
        <w:t>万元，均为对子公司提供的担保。</w:t>
      </w:r>
    </w:p>
    <w:p w14:paraId="00387C7D">
      <w:pPr>
        <w:widowControl/>
        <w:numPr>
          <w:ilvl w:val="0"/>
          <w:numId w:val="1"/>
        </w:numPr>
        <w:adjustRightInd w:val="0"/>
        <w:snapToGrid w:val="0"/>
        <w:spacing w:line="560" w:lineRule="exact"/>
        <w:ind w:left="0" w:firstLine="482" w:firstLineChars="200"/>
        <w:jc w:val="left"/>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2"/>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14:paraId="5E53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14:paraId="120C85AE">
            <w:pPr>
              <w:widowControl/>
              <w:adjustRightInd w:val="0"/>
              <w:snapToGrid w:val="0"/>
              <w:rPr>
                <w:rFonts w:hint="eastAsia"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14:paraId="05711585">
            <w:pPr>
              <w:widowControl/>
              <w:adjustRightInd w:val="0"/>
              <w:snapToGrid w:val="0"/>
              <w:jc w:val="right"/>
              <w:rPr>
                <w:rFonts w:hint="eastAsia" w:asciiTheme="minorEastAsia" w:hAnsiTheme="minorEastAsia" w:cstheme="minorEastAsia"/>
                <w:sz w:val="24"/>
                <w:szCs w:val="24"/>
              </w:rPr>
            </w:pPr>
            <w:r>
              <w:rPr>
                <w:rFonts w:hint="eastAsia" w:asciiTheme="minorEastAsia" w:hAnsiTheme="minorEastAsia" w:cstheme="minorEastAsia"/>
                <w:sz w:val="24"/>
                <w:szCs w:val="24"/>
              </w:rPr>
              <w:t>0.00</w:t>
            </w:r>
          </w:p>
        </w:tc>
      </w:tr>
      <w:tr w14:paraId="7861D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14:paraId="3A9A466F">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w:t>
            </w:r>
            <w:r>
              <w:rPr>
                <w:rFonts w:asciiTheme="minorEastAsia" w:hAnsiTheme="minorEastAsia" w:cstheme="minorEastAsia"/>
                <w:b/>
                <w:bCs/>
                <w:color w:val="000000"/>
                <w:kern w:val="0"/>
                <w:sz w:val="24"/>
                <w:szCs w:val="24"/>
              </w:rPr>
              <w:t>2</w:t>
            </w:r>
            <w:r>
              <w:rPr>
                <w:rFonts w:hint="eastAsia" w:asciiTheme="minorEastAsia" w:hAnsiTheme="minorEastAsia" w:cstheme="minorEastAsia"/>
                <w:b/>
                <w:bCs/>
                <w:color w:val="000000"/>
                <w:kern w:val="0"/>
                <w:sz w:val="24"/>
                <w:szCs w:val="24"/>
              </w:rPr>
              <w:t>月末上市公司及其控股子公司对外担保总额（万元）</w:t>
            </w:r>
          </w:p>
        </w:tc>
        <w:tc>
          <w:tcPr>
            <w:tcW w:w="4863" w:type="dxa"/>
            <w:vAlign w:val="center"/>
          </w:tcPr>
          <w:p w14:paraId="4B8CECB6">
            <w:pPr>
              <w:widowControl/>
              <w:adjustRightInd w:val="0"/>
              <w:snapToGrid w:val="0"/>
              <w:jc w:val="right"/>
              <w:rPr>
                <w:rFonts w:hint="eastAsia"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130,374.10</w:t>
            </w:r>
            <w:r>
              <w:rPr>
                <w:rFonts w:hint="eastAsia" w:asciiTheme="minorEastAsia" w:hAnsiTheme="minorEastAsia" w:cstheme="minorEastAsia"/>
                <w:color w:val="000000"/>
                <w:kern w:val="0"/>
                <w:sz w:val="24"/>
                <w:szCs w:val="24"/>
              </w:rPr>
              <w:t xml:space="preserve">  </w:t>
            </w:r>
          </w:p>
        </w:tc>
      </w:tr>
      <w:tr w14:paraId="2C3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14:paraId="5D097A22">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对外担保总额占上市公司最近一期经审计净资产的比例（%）</w:t>
            </w:r>
          </w:p>
        </w:tc>
        <w:tc>
          <w:tcPr>
            <w:tcW w:w="4863" w:type="dxa"/>
            <w:vAlign w:val="center"/>
          </w:tcPr>
          <w:p w14:paraId="4F9F4564">
            <w:pPr>
              <w:widowControl/>
              <w:adjustRightInd w:val="0"/>
              <w:snapToGrid w:val="0"/>
              <w:jc w:val="right"/>
              <w:rPr>
                <w:rFonts w:hint="eastAsia"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54.02</w:t>
            </w:r>
          </w:p>
        </w:tc>
      </w:tr>
      <w:tr w14:paraId="2A86B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14:paraId="292EE299">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14:paraId="06B7DBCE">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对外担保总额超过最近一期经审计净资产100%</w:t>
            </w:r>
          </w:p>
          <w:p w14:paraId="5678279B">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担保金额超过上市公司最近一期经审计净资产50%</w:t>
            </w:r>
          </w:p>
          <w:p w14:paraId="5A9440DF">
            <w:pPr>
              <w:widowControl/>
              <w:adjustRightInd w:val="0"/>
              <w:snapToGrid w:val="0"/>
              <w:rPr>
                <w:rFonts w:hint="eastAsia" w:asciiTheme="minorEastAsia" w:hAnsiTheme="minorEastAsia" w:cstheme="minorEastAsia"/>
                <w:color w:val="000000"/>
                <w:kern w:val="0"/>
                <w:sz w:val="24"/>
                <w:szCs w:val="24"/>
              </w:rPr>
            </w:pPr>
            <w:bookmarkStart w:id="0" w:name="OLE_LINK3"/>
            <w:bookmarkStart w:id="1" w:name="OLE_LINK4"/>
            <w:r>
              <w:rPr>
                <w:rFonts w:hint="eastAsia" w:asciiTheme="minorEastAsia" w:hAnsiTheme="minorEastAsia" w:cstheme="minorEastAsia"/>
                <w:color w:val="000000"/>
                <w:sz w:val="24"/>
                <w:szCs w:val="24"/>
              </w:rPr>
              <w:t>□</w:t>
            </w:r>
            <w:bookmarkEnd w:id="0"/>
            <w:bookmarkEnd w:id="1"/>
            <w:r>
              <w:rPr>
                <w:rFonts w:hint="eastAsia" w:asciiTheme="minorEastAsia" w:hAnsiTheme="minorEastAsia" w:cstheme="minorEastAsia"/>
                <w:color w:val="000000"/>
                <w:kern w:val="0"/>
                <w:sz w:val="24"/>
                <w:szCs w:val="24"/>
              </w:rPr>
              <w:t>对合并报表外单位担保金额达到或超过最近一期经审计净资产30%的情况下</w:t>
            </w:r>
          </w:p>
          <w:p w14:paraId="04898382">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kern w:val="0"/>
                <w:sz w:val="24"/>
                <w:szCs w:val="24"/>
              </w:rPr>
              <w:t>对资产负债率超过70%的单位提供担保</w:t>
            </w:r>
          </w:p>
        </w:tc>
      </w:tr>
      <w:tr w14:paraId="29FE5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3642" w:type="dxa"/>
            <w:vAlign w:val="center"/>
          </w:tcPr>
          <w:p w14:paraId="0C955C02">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其他风险提示（如有）</w:t>
            </w:r>
          </w:p>
        </w:tc>
        <w:tc>
          <w:tcPr>
            <w:tcW w:w="4863" w:type="dxa"/>
            <w:vAlign w:val="center"/>
          </w:tcPr>
          <w:p w14:paraId="58F78035">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无</w:t>
            </w:r>
          </w:p>
        </w:tc>
      </w:tr>
    </w:tbl>
    <w:p w14:paraId="1D375683">
      <w:pPr>
        <w:widowControl/>
        <w:adjustRightInd w:val="0"/>
        <w:snapToGrid w:val="0"/>
        <w:spacing w:line="560" w:lineRule="exact"/>
        <w:ind w:firstLine="600"/>
        <w:jc w:val="left"/>
        <w:rPr>
          <w:rFonts w:hint="eastAsia" w:asciiTheme="minorEastAsia" w:hAnsiTheme="minorEastAsia" w:cstheme="minorEastAsia"/>
          <w:kern w:val="0"/>
          <w:sz w:val="24"/>
          <w:szCs w:val="24"/>
        </w:rPr>
      </w:pPr>
    </w:p>
    <w:p w14:paraId="6EFE9EC0">
      <w:pPr>
        <w:widowControl/>
        <w:numPr>
          <w:ilvl w:val="0"/>
          <w:numId w:val="2"/>
        </w:numPr>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担保情况概述</w:t>
      </w:r>
      <w:bookmarkStart w:id="9" w:name="_GoBack"/>
      <w:bookmarkEnd w:id="9"/>
    </w:p>
    <w:p w14:paraId="7E81FD8D">
      <w:pPr>
        <w:pStyle w:val="17"/>
        <w:widowControl/>
        <w:numPr>
          <w:ilvl w:val="0"/>
          <w:numId w:val="3"/>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公司对外担保总额及内部决策程序履行情况</w:t>
      </w:r>
    </w:p>
    <w:p w14:paraId="06ED02C3">
      <w:pPr>
        <w:widowControl/>
        <w:adjustRightInd w:val="0"/>
        <w:snapToGrid w:val="0"/>
        <w:spacing w:line="560" w:lineRule="exact"/>
        <w:ind w:firstLine="480" w:firstLineChars="20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公司于202</w:t>
      </w:r>
      <w:r>
        <w:rPr>
          <w:rFonts w:asciiTheme="minorEastAsia" w:hAnsiTheme="minorEastAsia" w:cstheme="minorEastAsia"/>
          <w:color w:val="000000"/>
          <w:kern w:val="0"/>
          <w:sz w:val="24"/>
          <w:szCs w:val="24"/>
        </w:rPr>
        <w:t>5</w:t>
      </w:r>
      <w:r>
        <w:rPr>
          <w:rFonts w:hint="eastAsia" w:asciiTheme="minorEastAsia" w:hAnsiTheme="minorEastAsia" w:cstheme="minorEastAsia"/>
          <w:color w:val="000000"/>
          <w:kern w:val="0"/>
          <w:sz w:val="24"/>
          <w:szCs w:val="24"/>
        </w:rPr>
        <w:t>年1</w:t>
      </w:r>
      <w:r>
        <w:rPr>
          <w:rFonts w:asciiTheme="minorEastAsia" w:hAnsiTheme="minorEastAsia" w:cstheme="minorEastAsia"/>
          <w:color w:val="000000"/>
          <w:kern w:val="0"/>
          <w:sz w:val="24"/>
          <w:szCs w:val="24"/>
        </w:rPr>
        <w:t>2</w:t>
      </w:r>
      <w:r>
        <w:rPr>
          <w:rFonts w:hint="eastAsia" w:asciiTheme="minorEastAsia" w:hAnsiTheme="minorEastAsia" w:cstheme="minorEastAsia"/>
          <w:color w:val="000000"/>
          <w:kern w:val="0"/>
          <w:sz w:val="24"/>
          <w:szCs w:val="24"/>
        </w:rPr>
        <w:t>月</w:t>
      </w:r>
      <w:r>
        <w:rPr>
          <w:rFonts w:asciiTheme="minorEastAsia" w:hAnsiTheme="minorEastAsia" w:cstheme="minorEastAsia"/>
          <w:color w:val="000000"/>
          <w:kern w:val="0"/>
          <w:sz w:val="24"/>
          <w:szCs w:val="24"/>
        </w:rPr>
        <w:t>9</w:t>
      </w:r>
      <w:r>
        <w:rPr>
          <w:rFonts w:hint="eastAsia" w:asciiTheme="minorEastAsia" w:hAnsiTheme="minorEastAsia" w:cstheme="minorEastAsia"/>
          <w:color w:val="000000"/>
          <w:kern w:val="0"/>
          <w:sz w:val="24"/>
          <w:szCs w:val="24"/>
        </w:rPr>
        <w:t>日召开第四届董事会第十五次会议审议通过《关于预计202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年度向银行等金融机构申请综合授信额度及为子公司提供融资担保额度的议案》，同意202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年度为子公司重庆惠泽电器有限公司（以下简称“惠泽电器”）向银行等金融机构申请综合授信或借款提供新增额度不超过</w:t>
      </w:r>
      <w:r>
        <w:rPr>
          <w:rFonts w:asciiTheme="minorEastAsia" w:hAnsiTheme="minorEastAsia" w:cstheme="minorEastAsia"/>
          <w:color w:val="000000"/>
          <w:kern w:val="0"/>
          <w:sz w:val="24"/>
          <w:szCs w:val="24"/>
        </w:rPr>
        <w:t>4</w:t>
      </w:r>
      <w:r>
        <w:rPr>
          <w:rFonts w:hint="eastAsia" w:asciiTheme="minorEastAsia" w:hAnsiTheme="minorEastAsia" w:cstheme="minorEastAsia"/>
          <w:color w:val="000000"/>
          <w:kern w:val="0"/>
          <w:sz w:val="24"/>
          <w:szCs w:val="24"/>
        </w:rPr>
        <w:t>亿元人民币（或等值外币）的担保；同意202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年度为资产负债率超过70%的子公司黔南望江变压器有限公司（以下简称“黔南望江”）</w:t>
      </w:r>
      <w:bookmarkStart w:id="2" w:name="OLE_LINK6"/>
      <w:bookmarkStart w:id="3" w:name="OLE_LINK5"/>
      <w:r>
        <w:rPr>
          <w:rFonts w:hint="eastAsia" w:asciiTheme="minorEastAsia" w:hAnsiTheme="minorEastAsia" w:cstheme="minorEastAsia"/>
          <w:color w:val="000000"/>
          <w:kern w:val="0"/>
          <w:sz w:val="24"/>
          <w:szCs w:val="24"/>
        </w:rPr>
        <w:t>向银行等金融机构申请综合授信或借款提供新增额度不超过2亿元人民币（或等值外币）的担保</w:t>
      </w:r>
      <w:bookmarkEnd w:id="2"/>
      <w:bookmarkEnd w:id="3"/>
      <w:r>
        <w:rPr>
          <w:rFonts w:hint="eastAsia" w:asciiTheme="minorEastAsia" w:hAnsiTheme="minorEastAsia" w:cstheme="minorEastAsia"/>
          <w:color w:val="000000"/>
          <w:kern w:val="0"/>
          <w:sz w:val="24"/>
          <w:szCs w:val="24"/>
        </w:rPr>
        <w:t>；同意202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年度为子公司云南变压器电气股份有限公司（以下简称“云变电气”）向银行等金融机构申请综合授信或借款提供新增额度不超过</w:t>
      </w:r>
      <w:r>
        <w:rPr>
          <w:rFonts w:asciiTheme="minorEastAsia" w:hAnsiTheme="minorEastAsia" w:cstheme="minorEastAsia"/>
          <w:color w:val="000000"/>
          <w:kern w:val="0"/>
          <w:sz w:val="24"/>
          <w:szCs w:val="24"/>
        </w:rPr>
        <w:t>18</w:t>
      </w:r>
      <w:r>
        <w:rPr>
          <w:rFonts w:hint="eastAsia" w:asciiTheme="minorEastAsia" w:hAnsiTheme="minorEastAsia" w:cstheme="minorEastAsia"/>
          <w:color w:val="000000"/>
          <w:kern w:val="0"/>
          <w:sz w:val="24"/>
          <w:szCs w:val="24"/>
        </w:rPr>
        <w:t>亿元人民币（或等值外币）的担保；同意2</w:t>
      </w:r>
      <w:r>
        <w:rPr>
          <w:rFonts w:asciiTheme="minorEastAsia" w:hAnsiTheme="minorEastAsia" w:cstheme="minorEastAsia"/>
          <w:color w:val="000000"/>
          <w:kern w:val="0"/>
          <w:sz w:val="24"/>
          <w:szCs w:val="24"/>
        </w:rPr>
        <w:t>026</w:t>
      </w:r>
      <w:r>
        <w:rPr>
          <w:rFonts w:hint="eastAsia" w:asciiTheme="minorEastAsia" w:hAnsiTheme="minorEastAsia" w:cstheme="minorEastAsia"/>
          <w:color w:val="000000"/>
          <w:kern w:val="0"/>
          <w:sz w:val="24"/>
          <w:szCs w:val="24"/>
        </w:rPr>
        <w:t>年度为资产负债率超过70%的子公司</w:t>
      </w:r>
      <w:bookmarkStart w:id="4" w:name="OLE_LINK20"/>
      <w:bookmarkStart w:id="5" w:name="OLE_LINK21"/>
      <w:r>
        <w:rPr>
          <w:rFonts w:hint="eastAsia" w:asciiTheme="minorEastAsia" w:hAnsiTheme="minorEastAsia" w:cstheme="minorEastAsia"/>
          <w:color w:val="000000"/>
          <w:kern w:val="0"/>
          <w:sz w:val="24"/>
          <w:szCs w:val="24"/>
        </w:rPr>
        <w:t>望来充（重庆）科技有限责任公司</w:t>
      </w:r>
      <w:bookmarkEnd w:id="4"/>
      <w:bookmarkEnd w:id="5"/>
      <w:r>
        <w:rPr>
          <w:rFonts w:hint="eastAsia" w:asciiTheme="minorEastAsia" w:hAnsiTheme="minorEastAsia" w:cstheme="minorEastAsia"/>
          <w:color w:val="000000"/>
          <w:kern w:val="0"/>
          <w:sz w:val="24"/>
          <w:szCs w:val="24"/>
        </w:rPr>
        <w:t>及子公司（以下简称“望来充”）向银行等金融机构申请综合授信或借款提供新增额度不超过</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亿元人民币（或等值外币）的担保。上述担保额度有效期自202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年1月1日至202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年12月31日。该担保事项已提交公司202</w:t>
      </w:r>
      <w:r>
        <w:rPr>
          <w:rFonts w:asciiTheme="minorEastAsia" w:hAnsiTheme="minorEastAsia" w:cstheme="minorEastAsia"/>
          <w:color w:val="000000"/>
          <w:kern w:val="0"/>
          <w:sz w:val="24"/>
          <w:szCs w:val="24"/>
        </w:rPr>
        <w:t>5</w:t>
      </w:r>
      <w:r>
        <w:rPr>
          <w:rFonts w:hint="eastAsia" w:asciiTheme="minorEastAsia" w:hAnsiTheme="minorEastAsia" w:cstheme="minorEastAsia"/>
          <w:color w:val="000000"/>
          <w:kern w:val="0"/>
          <w:sz w:val="24"/>
          <w:szCs w:val="24"/>
        </w:rPr>
        <w:t>年第一次临时股东会审议通过。具体情况详见公司在上海证券交易所官网披露的《</w:t>
      </w:r>
      <w:bookmarkStart w:id="6" w:name="OLE_LINK1"/>
      <w:r>
        <w:rPr>
          <w:rFonts w:hint="eastAsia" w:asciiTheme="minorEastAsia" w:hAnsiTheme="minorEastAsia" w:cstheme="minorEastAsia"/>
          <w:color w:val="000000"/>
          <w:kern w:val="0"/>
          <w:sz w:val="24"/>
          <w:szCs w:val="24"/>
        </w:rPr>
        <w:t>关于预计202</w:t>
      </w:r>
      <w:r>
        <w:rPr>
          <w:rFonts w:asciiTheme="minorEastAsia" w:hAnsiTheme="minorEastAsia" w:cstheme="minorEastAsia"/>
          <w:color w:val="000000"/>
          <w:kern w:val="0"/>
          <w:sz w:val="24"/>
          <w:szCs w:val="24"/>
        </w:rPr>
        <w:t>6</w:t>
      </w:r>
      <w:r>
        <w:rPr>
          <w:rFonts w:hint="eastAsia" w:asciiTheme="minorEastAsia" w:hAnsiTheme="minorEastAsia" w:cstheme="minorEastAsia"/>
          <w:color w:val="000000"/>
          <w:kern w:val="0"/>
          <w:sz w:val="24"/>
          <w:szCs w:val="24"/>
        </w:rPr>
        <w:t>年度对子公司新增担保额度的公告</w:t>
      </w:r>
      <w:bookmarkEnd w:id="6"/>
      <w:r>
        <w:rPr>
          <w:rFonts w:hint="eastAsia" w:asciiTheme="minorEastAsia" w:hAnsiTheme="minorEastAsia" w:cstheme="minorEastAsia"/>
          <w:color w:val="000000"/>
          <w:kern w:val="0"/>
          <w:sz w:val="24"/>
          <w:szCs w:val="24"/>
        </w:rPr>
        <w:t>》（公告编号：202</w:t>
      </w:r>
      <w:r>
        <w:rPr>
          <w:rFonts w:asciiTheme="minorEastAsia" w:hAnsiTheme="minorEastAsia" w:cstheme="minorEastAsia"/>
          <w:color w:val="000000"/>
          <w:kern w:val="0"/>
          <w:sz w:val="24"/>
          <w:szCs w:val="24"/>
        </w:rPr>
        <w:t>5</w:t>
      </w:r>
      <w:r>
        <w:rPr>
          <w:rFonts w:hint="eastAsia" w:asciiTheme="minorEastAsia" w:hAnsiTheme="minorEastAsia" w:cstheme="minorEastAsia"/>
          <w:color w:val="000000"/>
          <w:kern w:val="0"/>
          <w:sz w:val="24"/>
          <w:szCs w:val="24"/>
        </w:rPr>
        <w:t>-0</w:t>
      </w:r>
      <w:r>
        <w:rPr>
          <w:rFonts w:asciiTheme="minorEastAsia" w:hAnsiTheme="minorEastAsia" w:cstheme="minorEastAsia"/>
          <w:color w:val="000000"/>
          <w:kern w:val="0"/>
          <w:sz w:val="24"/>
          <w:szCs w:val="24"/>
        </w:rPr>
        <w:t>62</w:t>
      </w:r>
      <w:r>
        <w:rPr>
          <w:rFonts w:hint="eastAsia" w:asciiTheme="minorEastAsia" w:hAnsiTheme="minorEastAsia" w:cstheme="minorEastAsia"/>
          <w:color w:val="000000"/>
          <w:kern w:val="0"/>
          <w:sz w:val="24"/>
          <w:szCs w:val="24"/>
        </w:rPr>
        <w:t>）和《202</w:t>
      </w:r>
      <w:r>
        <w:rPr>
          <w:rFonts w:asciiTheme="minorEastAsia" w:hAnsiTheme="minorEastAsia" w:cstheme="minorEastAsia"/>
          <w:color w:val="000000"/>
          <w:kern w:val="0"/>
          <w:sz w:val="24"/>
          <w:szCs w:val="24"/>
        </w:rPr>
        <w:t>5</w:t>
      </w:r>
      <w:r>
        <w:rPr>
          <w:rFonts w:hint="eastAsia" w:asciiTheme="minorEastAsia" w:hAnsiTheme="minorEastAsia" w:cstheme="minorEastAsia"/>
          <w:color w:val="000000"/>
          <w:kern w:val="0"/>
          <w:sz w:val="24"/>
          <w:szCs w:val="24"/>
        </w:rPr>
        <w:t>年第一次临时股东会决议公告》（公告编号：202</w:t>
      </w:r>
      <w:r>
        <w:rPr>
          <w:rFonts w:asciiTheme="minorEastAsia" w:hAnsiTheme="minorEastAsia" w:cstheme="minorEastAsia"/>
          <w:color w:val="000000"/>
          <w:kern w:val="0"/>
          <w:sz w:val="24"/>
          <w:szCs w:val="24"/>
        </w:rPr>
        <w:t>5</w:t>
      </w:r>
      <w:r>
        <w:rPr>
          <w:rFonts w:hint="eastAsia" w:asciiTheme="minorEastAsia" w:hAnsiTheme="minorEastAsia" w:cstheme="minorEastAsia"/>
          <w:color w:val="000000"/>
          <w:kern w:val="0"/>
          <w:sz w:val="24"/>
          <w:szCs w:val="24"/>
        </w:rPr>
        <w:t>-0</w:t>
      </w:r>
      <w:r>
        <w:rPr>
          <w:rFonts w:asciiTheme="minorEastAsia" w:hAnsiTheme="minorEastAsia" w:cstheme="minorEastAsia"/>
          <w:color w:val="000000"/>
          <w:kern w:val="0"/>
          <w:sz w:val="24"/>
          <w:szCs w:val="24"/>
        </w:rPr>
        <w:t>67</w:t>
      </w:r>
      <w:r>
        <w:rPr>
          <w:rFonts w:hint="eastAsia" w:asciiTheme="minorEastAsia" w:hAnsiTheme="minorEastAsia" w:cstheme="minorEastAsia"/>
          <w:color w:val="000000"/>
          <w:kern w:val="0"/>
          <w:sz w:val="24"/>
          <w:szCs w:val="24"/>
        </w:rPr>
        <w:t>）。</w:t>
      </w:r>
    </w:p>
    <w:p w14:paraId="028B0462">
      <w:pPr>
        <w:pStyle w:val="17"/>
        <w:widowControl/>
        <w:numPr>
          <w:ilvl w:val="0"/>
          <w:numId w:val="3"/>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本月对外担保进展情况</w:t>
      </w:r>
    </w:p>
    <w:p w14:paraId="511A13A5">
      <w:pPr>
        <w:pStyle w:val="17"/>
        <w:widowControl/>
        <w:adjustRightInd w:val="0"/>
        <w:snapToGrid w:val="0"/>
        <w:spacing w:line="560" w:lineRule="exact"/>
        <w:ind w:firstLine="48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202</w:t>
      </w:r>
      <w:r>
        <w:rPr>
          <w:rFonts w:asciiTheme="minorEastAsia" w:hAnsiTheme="minorEastAsia" w:cstheme="minorEastAsia"/>
          <w:sz w:val="24"/>
          <w:szCs w:val="24"/>
        </w:rPr>
        <w:t>6</w:t>
      </w:r>
      <w:r>
        <w:rPr>
          <w:rFonts w:hint="eastAsia" w:asciiTheme="minorEastAsia" w:hAnsiTheme="minorEastAsia" w:cstheme="minorEastAsia"/>
          <w:sz w:val="24"/>
          <w:szCs w:val="24"/>
        </w:rPr>
        <w:t>年</w:t>
      </w:r>
      <w:r>
        <w:rPr>
          <w:rFonts w:asciiTheme="minorEastAsia" w:hAnsiTheme="minorEastAsia" w:cstheme="minorEastAsia"/>
          <w:sz w:val="24"/>
          <w:szCs w:val="24"/>
        </w:rPr>
        <w:t>2</w:t>
      </w:r>
      <w:r>
        <w:rPr>
          <w:rFonts w:hint="eastAsia" w:asciiTheme="minorEastAsia" w:hAnsiTheme="minorEastAsia" w:cstheme="minorEastAsia"/>
          <w:sz w:val="24"/>
          <w:szCs w:val="24"/>
        </w:rPr>
        <w:t>月，公司及下属子公司未新增对外担保情况。</w:t>
      </w:r>
    </w:p>
    <w:p w14:paraId="713749B7">
      <w:pPr>
        <w:pStyle w:val="17"/>
        <w:widowControl/>
        <w:numPr>
          <w:ilvl w:val="0"/>
          <w:numId w:val="3"/>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担保预计基本情况</w:t>
      </w:r>
    </w:p>
    <w:tbl>
      <w:tblPr>
        <w:tblStyle w:val="12"/>
        <w:tblW w:w="5350" w:type="pct"/>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3"/>
        <w:gridCol w:w="582"/>
        <w:gridCol w:w="873"/>
        <w:gridCol w:w="728"/>
        <w:gridCol w:w="1095"/>
        <w:gridCol w:w="1090"/>
        <w:gridCol w:w="1002"/>
        <w:gridCol w:w="1038"/>
        <w:gridCol w:w="976"/>
        <w:gridCol w:w="441"/>
        <w:gridCol w:w="711"/>
      </w:tblGrid>
      <w:tr w14:paraId="445B1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583" w:type="dxa"/>
            <w:vAlign w:val="center"/>
          </w:tcPr>
          <w:p w14:paraId="190F1892">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w:t>
            </w:r>
          </w:p>
        </w:tc>
        <w:tc>
          <w:tcPr>
            <w:tcW w:w="582" w:type="dxa"/>
            <w:vAlign w:val="center"/>
          </w:tcPr>
          <w:p w14:paraId="732E459E">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被担保方</w:t>
            </w:r>
          </w:p>
        </w:tc>
        <w:tc>
          <w:tcPr>
            <w:tcW w:w="873" w:type="dxa"/>
            <w:vAlign w:val="center"/>
          </w:tcPr>
          <w:p w14:paraId="5131C186">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担保方持股比例</w:t>
            </w:r>
          </w:p>
        </w:tc>
        <w:tc>
          <w:tcPr>
            <w:tcW w:w="728" w:type="dxa"/>
            <w:vAlign w:val="center"/>
          </w:tcPr>
          <w:p w14:paraId="79A0B6A6">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w:t>
            </w:r>
          </w:p>
          <w:p w14:paraId="7CDA06B8">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保方</w:t>
            </w:r>
            <w:r>
              <w:rPr>
                <w:rFonts w:asciiTheme="minorEastAsia" w:hAnsiTheme="minorEastAsia" w:cstheme="minorEastAsia"/>
                <w:b/>
                <w:bCs/>
                <w:color w:val="000000"/>
                <w:kern w:val="0"/>
                <w:sz w:val="16"/>
                <w:szCs w:val="16"/>
              </w:rPr>
              <w:t>2025.09.30</w:t>
            </w:r>
            <w:r>
              <w:rPr>
                <w:rFonts w:hint="eastAsia" w:asciiTheme="minorEastAsia" w:hAnsiTheme="minorEastAsia" w:cstheme="minorEastAsia"/>
                <w:b/>
                <w:bCs/>
                <w:color w:val="000000"/>
                <w:kern w:val="0"/>
                <w:sz w:val="16"/>
                <w:szCs w:val="16"/>
              </w:rPr>
              <w:t>资产负债率（未经审计）</w:t>
            </w:r>
          </w:p>
        </w:tc>
        <w:tc>
          <w:tcPr>
            <w:tcW w:w="1095" w:type="dxa"/>
            <w:vAlign w:val="center"/>
          </w:tcPr>
          <w:p w14:paraId="616E4A4A">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202</w:t>
            </w:r>
            <w:r>
              <w:rPr>
                <w:rFonts w:asciiTheme="minorEastAsia" w:hAnsiTheme="minorEastAsia" w:cstheme="minorEastAsia"/>
                <w:b/>
                <w:bCs/>
                <w:color w:val="000000"/>
                <w:kern w:val="0"/>
                <w:sz w:val="16"/>
                <w:szCs w:val="16"/>
              </w:rPr>
              <w:t>6</w:t>
            </w:r>
            <w:r>
              <w:rPr>
                <w:rFonts w:hint="eastAsia" w:asciiTheme="minorEastAsia" w:hAnsiTheme="minorEastAsia" w:cstheme="minorEastAsia"/>
                <w:b/>
                <w:bCs/>
                <w:color w:val="000000"/>
                <w:kern w:val="0"/>
                <w:sz w:val="16"/>
                <w:szCs w:val="16"/>
              </w:rPr>
              <w:t>年预计担保额度</w:t>
            </w:r>
          </w:p>
          <w:p w14:paraId="4C19E76D">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1090" w:type="dxa"/>
            <w:vAlign w:val="center"/>
          </w:tcPr>
          <w:p w14:paraId="138D620A">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截至202</w:t>
            </w:r>
            <w:r>
              <w:rPr>
                <w:rFonts w:asciiTheme="minorEastAsia" w:hAnsiTheme="minorEastAsia" w:cstheme="minorEastAsia"/>
                <w:b/>
                <w:bCs/>
                <w:color w:val="000000"/>
                <w:kern w:val="0"/>
                <w:sz w:val="16"/>
                <w:szCs w:val="16"/>
              </w:rPr>
              <w:t>6</w:t>
            </w:r>
            <w:r>
              <w:rPr>
                <w:rFonts w:hint="eastAsia" w:asciiTheme="minorEastAsia" w:hAnsiTheme="minorEastAsia" w:cstheme="minorEastAsia"/>
                <w:b/>
                <w:bCs/>
                <w:color w:val="000000"/>
                <w:kern w:val="0"/>
                <w:sz w:val="16"/>
                <w:szCs w:val="16"/>
              </w:rPr>
              <w:t>年</w:t>
            </w:r>
            <w:r>
              <w:rPr>
                <w:rFonts w:asciiTheme="minorEastAsia" w:hAnsiTheme="minorEastAsia" w:cstheme="minorEastAsia"/>
                <w:b/>
                <w:bCs/>
                <w:color w:val="000000"/>
                <w:kern w:val="0"/>
                <w:sz w:val="16"/>
                <w:szCs w:val="16"/>
              </w:rPr>
              <w:t>2</w:t>
            </w:r>
            <w:r>
              <w:rPr>
                <w:rFonts w:hint="eastAsia" w:asciiTheme="minorEastAsia" w:hAnsiTheme="minorEastAsia" w:cstheme="minorEastAsia"/>
                <w:b/>
                <w:bCs/>
                <w:color w:val="000000"/>
                <w:kern w:val="0"/>
                <w:sz w:val="16"/>
                <w:szCs w:val="16"/>
              </w:rPr>
              <w:t>月末担保余额</w:t>
            </w:r>
          </w:p>
          <w:p w14:paraId="5301E1B6">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1002" w:type="dxa"/>
            <w:vAlign w:val="center"/>
          </w:tcPr>
          <w:p w14:paraId="77295072">
            <w:pPr>
              <w:widowControl/>
              <w:adjustRightInd w:val="0"/>
              <w:snapToGrid w:val="0"/>
              <w:jc w:val="center"/>
              <w:rPr>
                <w:rFonts w:hint="eastAsia"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2</w:t>
            </w:r>
            <w:r>
              <w:rPr>
                <w:rFonts w:hint="eastAsia" w:asciiTheme="minorEastAsia" w:hAnsiTheme="minorEastAsia" w:cstheme="minorEastAsia"/>
                <w:b/>
                <w:bCs/>
                <w:color w:val="000000"/>
                <w:kern w:val="0"/>
                <w:sz w:val="16"/>
                <w:szCs w:val="16"/>
              </w:rPr>
              <w:t>月新增担保额度</w:t>
            </w:r>
          </w:p>
          <w:p w14:paraId="1D521F69">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1038" w:type="dxa"/>
            <w:vAlign w:val="center"/>
          </w:tcPr>
          <w:p w14:paraId="07000FF7">
            <w:pPr>
              <w:widowControl/>
              <w:adjustRightInd w:val="0"/>
              <w:snapToGrid w:val="0"/>
              <w:jc w:val="center"/>
              <w:rPr>
                <w:rFonts w:hint="eastAsia"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截至2026年2月末担保余额</w:t>
            </w:r>
            <w:r>
              <w:rPr>
                <w:rFonts w:hint="eastAsia" w:asciiTheme="minorEastAsia" w:hAnsiTheme="minorEastAsia" w:cstheme="minorEastAsia"/>
                <w:b/>
                <w:bCs/>
                <w:color w:val="000000"/>
                <w:kern w:val="0"/>
                <w:sz w:val="16"/>
                <w:szCs w:val="16"/>
              </w:rPr>
              <w:t>占上市公司最近一期经审计净资产比例</w:t>
            </w:r>
          </w:p>
        </w:tc>
        <w:tc>
          <w:tcPr>
            <w:tcW w:w="976" w:type="dxa"/>
            <w:vAlign w:val="center"/>
          </w:tcPr>
          <w:p w14:paraId="28713599">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担保预计有效期</w:t>
            </w:r>
          </w:p>
        </w:tc>
        <w:tc>
          <w:tcPr>
            <w:tcW w:w="441" w:type="dxa"/>
            <w:vAlign w:val="center"/>
          </w:tcPr>
          <w:p w14:paraId="1A21F145">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是否关联担保</w:t>
            </w:r>
          </w:p>
        </w:tc>
        <w:tc>
          <w:tcPr>
            <w:tcW w:w="711" w:type="dxa"/>
            <w:vAlign w:val="center"/>
          </w:tcPr>
          <w:p w14:paraId="2331B0DF">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是否有反担保</w:t>
            </w:r>
          </w:p>
        </w:tc>
      </w:tr>
      <w:tr w14:paraId="27BBC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119" w:type="dxa"/>
            <w:gridSpan w:val="11"/>
            <w:vAlign w:val="center"/>
          </w:tcPr>
          <w:p w14:paraId="6FD1BBF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对控股子公司</w:t>
            </w:r>
          </w:p>
        </w:tc>
      </w:tr>
      <w:tr w14:paraId="34246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119" w:type="dxa"/>
            <w:gridSpan w:val="11"/>
            <w:vAlign w:val="center"/>
          </w:tcPr>
          <w:p w14:paraId="5D983B36">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1.资产负债率为70%以上的控股子公司</w:t>
            </w:r>
          </w:p>
        </w:tc>
      </w:tr>
      <w:tr w14:paraId="132CB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3" w:type="dxa"/>
            <w:vAlign w:val="center"/>
          </w:tcPr>
          <w:p w14:paraId="3BE263E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43F54CCF">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82" w:type="dxa"/>
            <w:vAlign w:val="center"/>
          </w:tcPr>
          <w:p w14:paraId="6F9E1BAF">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黔南</w:t>
            </w:r>
          </w:p>
          <w:p w14:paraId="34907139">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望江</w:t>
            </w:r>
          </w:p>
        </w:tc>
        <w:tc>
          <w:tcPr>
            <w:tcW w:w="873" w:type="dxa"/>
            <w:vAlign w:val="center"/>
          </w:tcPr>
          <w:p w14:paraId="24547140">
            <w:pPr>
              <w:widowControl/>
              <w:adjustRightInd w:val="0"/>
              <w:snapToGrid w:val="0"/>
              <w:rPr>
                <w:rFonts w:hint="eastAsia"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728" w:type="dxa"/>
            <w:vAlign w:val="center"/>
          </w:tcPr>
          <w:p w14:paraId="56895A0C">
            <w:pPr>
              <w:widowControl/>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75.84</w:t>
            </w:r>
            <w:r>
              <w:rPr>
                <w:rFonts w:hint="eastAsia" w:asciiTheme="minorEastAsia" w:hAnsiTheme="minorEastAsia" w:cstheme="minorEastAsia"/>
                <w:kern w:val="0"/>
                <w:sz w:val="16"/>
                <w:szCs w:val="16"/>
              </w:rPr>
              <w:t>%</w:t>
            </w:r>
          </w:p>
        </w:tc>
        <w:tc>
          <w:tcPr>
            <w:tcW w:w="1095" w:type="dxa"/>
            <w:vAlign w:val="center"/>
          </w:tcPr>
          <w:p w14:paraId="6E50683B">
            <w:pPr>
              <w:pStyle w:val="33"/>
              <w:widowControl/>
              <w:spacing w:line="240" w:lineRule="auto"/>
              <w:jc w:val="right"/>
              <w:rPr>
                <w:rFonts w:asciiTheme="minorEastAsia" w:hAnsiTheme="minorEastAsia" w:cstheme="minorEastAsia"/>
                <w:kern w:val="0"/>
                <w:sz w:val="16"/>
                <w:szCs w:val="16"/>
              </w:rPr>
            </w:pPr>
            <w:r>
              <w:rPr>
                <w:rFonts w:hint="eastAsia" w:ascii="宋体" w:hAnsi="宋体" w:eastAsia="宋体"/>
                <w:sz w:val="16"/>
                <w:szCs w:val="16"/>
                <w:lang w:eastAsia="zh-CN"/>
              </w:rPr>
              <w:t>20,000.00</w:t>
            </w:r>
          </w:p>
        </w:tc>
        <w:tc>
          <w:tcPr>
            <w:tcW w:w="1090" w:type="dxa"/>
            <w:vAlign w:val="center"/>
          </w:tcPr>
          <w:p w14:paraId="3494520D">
            <w:pPr>
              <w:pStyle w:val="33"/>
              <w:widowControl/>
              <w:spacing w:line="240" w:lineRule="auto"/>
              <w:jc w:val="center"/>
              <w:rPr>
                <w:rFonts w:hint="eastAsia" w:ascii="宋体" w:hAnsi="宋体" w:eastAsia="宋体"/>
                <w:sz w:val="16"/>
                <w:szCs w:val="16"/>
                <w:lang w:eastAsia="zh-CN"/>
              </w:rPr>
            </w:pPr>
            <w:r>
              <w:rPr>
                <w:rFonts w:ascii="宋体" w:hAnsi="宋体" w:eastAsia="宋体"/>
                <w:sz w:val="16"/>
                <w:szCs w:val="16"/>
                <w:lang w:eastAsia="zh-CN"/>
              </w:rPr>
              <w:t>4,757.73</w:t>
            </w:r>
          </w:p>
        </w:tc>
        <w:tc>
          <w:tcPr>
            <w:tcW w:w="1002" w:type="dxa"/>
            <w:vAlign w:val="center"/>
          </w:tcPr>
          <w:p w14:paraId="1DBB9287">
            <w:pPr>
              <w:pStyle w:val="33"/>
              <w:widowControl/>
              <w:spacing w:line="240" w:lineRule="auto"/>
              <w:jc w:val="center"/>
              <w:rPr>
                <w:rFonts w:asciiTheme="minorEastAsia" w:hAnsiTheme="minorEastAsia" w:cstheme="minorEastAsia"/>
                <w:kern w:val="0"/>
                <w:sz w:val="16"/>
                <w:szCs w:val="16"/>
              </w:rPr>
            </w:pPr>
            <w:r>
              <w:rPr>
                <w:rFonts w:ascii="宋体" w:hAnsi="宋体" w:eastAsia="宋体"/>
                <w:sz w:val="16"/>
                <w:szCs w:val="16"/>
                <w:lang w:eastAsia="zh-CN"/>
              </w:rPr>
              <w:t>0</w:t>
            </w:r>
            <w:r>
              <w:rPr>
                <w:rFonts w:hint="eastAsia" w:ascii="宋体" w:hAnsi="宋体" w:eastAsia="宋体"/>
                <w:sz w:val="16"/>
                <w:szCs w:val="16"/>
                <w:lang w:eastAsia="zh-CN"/>
              </w:rPr>
              <w:t>.00</w:t>
            </w:r>
          </w:p>
        </w:tc>
        <w:tc>
          <w:tcPr>
            <w:tcW w:w="1038" w:type="dxa"/>
            <w:vAlign w:val="center"/>
          </w:tcPr>
          <w:p w14:paraId="3FF0F885">
            <w:pPr>
              <w:widowControl/>
              <w:adjustRightInd w:val="0"/>
              <w:snapToGrid w:val="0"/>
              <w:jc w:val="center"/>
              <w:rPr>
                <w:rFonts w:hint="eastAsia" w:asciiTheme="minorEastAsia" w:hAnsiTheme="minorEastAsia" w:cstheme="minorEastAsia"/>
                <w:kern w:val="0"/>
                <w:sz w:val="16"/>
                <w:szCs w:val="16"/>
              </w:rPr>
            </w:pPr>
            <w:r>
              <w:rPr>
                <w:rFonts w:asciiTheme="minorEastAsia" w:hAnsiTheme="minorEastAsia" w:cstheme="minorEastAsia"/>
                <w:kern w:val="0"/>
                <w:sz w:val="16"/>
                <w:szCs w:val="16"/>
              </w:rPr>
              <w:t>1.97%</w:t>
            </w:r>
          </w:p>
        </w:tc>
        <w:tc>
          <w:tcPr>
            <w:tcW w:w="976" w:type="dxa"/>
            <w:vAlign w:val="center"/>
          </w:tcPr>
          <w:p w14:paraId="1A7AD7F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41" w:type="dxa"/>
            <w:vAlign w:val="center"/>
          </w:tcPr>
          <w:p w14:paraId="75BCDE4C">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711" w:type="dxa"/>
            <w:vAlign w:val="center"/>
          </w:tcPr>
          <w:p w14:paraId="69A8FE32">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3A322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119" w:type="dxa"/>
            <w:gridSpan w:val="11"/>
            <w:vAlign w:val="center"/>
          </w:tcPr>
          <w:p w14:paraId="2968F2AA">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2.资产负债率为70%以下的控股子公司</w:t>
            </w:r>
          </w:p>
        </w:tc>
      </w:tr>
      <w:tr w14:paraId="72098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3" w:type="dxa"/>
            <w:vAlign w:val="center"/>
          </w:tcPr>
          <w:p w14:paraId="661C67B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04E59B52">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82" w:type="dxa"/>
            <w:vAlign w:val="center"/>
          </w:tcPr>
          <w:p w14:paraId="433F1E97">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云变</w:t>
            </w:r>
          </w:p>
          <w:p w14:paraId="77844811">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873" w:type="dxa"/>
            <w:vAlign w:val="center"/>
          </w:tcPr>
          <w:p w14:paraId="28CDA59E">
            <w:pPr>
              <w:widowControl/>
              <w:adjustRightInd w:val="0"/>
              <w:snapToGrid w:val="0"/>
              <w:rPr>
                <w:rFonts w:hint="eastAsia" w:asciiTheme="minorEastAsia" w:hAnsiTheme="minorEastAsia" w:cstheme="minorEastAsia"/>
                <w:kern w:val="0"/>
                <w:sz w:val="16"/>
                <w:szCs w:val="16"/>
              </w:rPr>
            </w:pPr>
            <w:r>
              <w:rPr>
                <w:rFonts w:hint="eastAsia" w:eastAsia="宋体" w:asciiTheme="minorEastAsia" w:hAnsiTheme="minorEastAsia" w:cstheme="minorEastAsia"/>
                <w:kern w:val="0"/>
                <w:sz w:val="16"/>
                <w:szCs w:val="16"/>
              </w:rPr>
              <w:t>100.00</w:t>
            </w:r>
            <w:r>
              <w:rPr>
                <w:rFonts w:eastAsia="宋体" w:asciiTheme="minorEastAsia" w:hAnsiTheme="minorEastAsia" w:cstheme="minorEastAsia"/>
                <w:kern w:val="0"/>
                <w:sz w:val="16"/>
                <w:szCs w:val="16"/>
              </w:rPr>
              <w:t>%</w:t>
            </w:r>
          </w:p>
        </w:tc>
        <w:tc>
          <w:tcPr>
            <w:tcW w:w="728" w:type="dxa"/>
            <w:vAlign w:val="center"/>
          </w:tcPr>
          <w:p w14:paraId="74577889">
            <w:pPr>
              <w:widowControl/>
              <w:jc w:val="right"/>
              <w:rPr>
                <w:rFonts w:hint="eastAsia" w:asciiTheme="minorEastAsia" w:hAnsiTheme="minorEastAsia" w:cstheme="minorEastAsia"/>
                <w:kern w:val="0"/>
                <w:sz w:val="16"/>
                <w:szCs w:val="16"/>
                <w:highlight w:val="yellow"/>
              </w:rPr>
            </w:pPr>
            <w:r>
              <w:rPr>
                <w:rFonts w:asciiTheme="minorEastAsia" w:hAnsiTheme="minorEastAsia" w:cstheme="minorEastAsia"/>
                <w:kern w:val="0"/>
                <w:sz w:val="16"/>
                <w:szCs w:val="16"/>
                <w:lang w:bidi="ar"/>
              </w:rPr>
              <w:t>65.41</w:t>
            </w:r>
            <w:r>
              <w:rPr>
                <w:rFonts w:hint="eastAsia" w:asciiTheme="minorEastAsia" w:hAnsiTheme="minorEastAsia" w:cstheme="minorEastAsia"/>
                <w:kern w:val="0"/>
                <w:sz w:val="16"/>
                <w:szCs w:val="16"/>
                <w:lang w:bidi="ar"/>
              </w:rPr>
              <w:t>%</w:t>
            </w:r>
          </w:p>
        </w:tc>
        <w:tc>
          <w:tcPr>
            <w:tcW w:w="1095" w:type="dxa"/>
            <w:vAlign w:val="center"/>
          </w:tcPr>
          <w:p w14:paraId="5AB80D50">
            <w:pPr>
              <w:widowControl/>
              <w:adjustRightInd w:val="0"/>
              <w:snapToGrid w:val="0"/>
              <w:jc w:val="right"/>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1</w:t>
            </w:r>
            <w:r>
              <w:rPr>
                <w:rFonts w:asciiTheme="minorEastAsia" w:hAnsiTheme="minorEastAsia" w:cstheme="minorEastAsia"/>
                <w:kern w:val="0"/>
                <w:sz w:val="16"/>
                <w:szCs w:val="16"/>
              </w:rPr>
              <w:t>8</w:t>
            </w:r>
            <w:r>
              <w:rPr>
                <w:rFonts w:hint="eastAsia" w:asciiTheme="minorEastAsia" w:hAnsiTheme="minorEastAsia" w:cstheme="minorEastAsia"/>
                <w:kern w:val="0"/>
                <w:sz w:val="16"/>
                <w:szCs w:val="16"/>
              </w:rPr>
              <w:t>0,000.00</w:t>
            </w:r>
          </w:p>
        </w:tc>
        <w:tc>
          <w:tcPr>
            <w:tcW w:w="1090" w:type="dxa"/>
            <w:vAlign w:val="center"/>
          </w:tcPr>
          <w:p w14:paraId="69FA56C6">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62,891.51</w:t>
            </w:r>
          </w:p>
        </w:tc>
        <w:tc>
          <w:tcPr>
            <w:tcW w:w="1002" w:type="dxa"/>
            <w:vAlign w:val="center"/>
          </w:tcPr>
          <w:p w14:paraId="3E481204">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1038" w:type="dxa"/>
            <w:vAlign w:val="center"/>
          </w:tcPr>
          <w:p w14:paraId="75503D5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26.06%</w:t>
            </w:r>
          </w:p>
        </w:tc>
        <w:tc>
          <w:tcPr>
            <w:tcW w:w="976" w:type="dxa"/>
            <w:vAlign w:val="center"/>
          </w:tcPr>
          <w:p w14:paraId="224E34C2">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主债权届满之日起三年</w:t>
            </w:r>
          </w:p>
        </w:tc>
        <w:tc>
          <w:tcPr>
            <w:tcW w:w="441" w:type="dxa"/>
            <w:vAlign w:val="center"/>
          </w:tcPr>
          <w:p w14:paraId="2D4ABD96">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711" w:type="dxa"/>
            <w:vAlign w:val="center"/>
          </w:tcPr>
          <w:p w14:paraId="2757E56E">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6F2A5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3" w:type="dxa"/>
            <w:vAlign w:val="center"/>
          </w:tcPr>
          <w:p w14:paraId="4F019FA7">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237F05FB">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82" w:type="dxa"/>
            <w:vAlign w:val="center"/>
          </w:tcPr>
          <w:p w14:paraId="0553C1E3">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惠泽</w:t>
            </w:r>
          </w:p>
          <w:p w14:paraId="19C645B4">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电器</w:t>
            </w:r>
          </w:p>
        </w:tc>
        <w:tc>
          <w:tcPr>
            <w:tcW w:w="873" w:type="dxa"/>
            <w:vAlign w:val="center"/>
          </w:tcPr>
          <w:p w14:paraId="2AF06E3D">
            <w:pPr>
              <w:widowControl/>
              <w:adjustRightInd w:val="0"/>
              <w:snapToGrid w:val="0"/>
              <w:rPr>
                <w:rFonts w:hint="eastAsia"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728" w:type="dxa"/>
            <w:vAlign w:val="center"/>
          </w:tcPr>
          <w:p w14:paraId="62301A6A">
            <w:pPr>
              <w:widowControl/>
              <w:jc w:val="right"/>
              <w:rPr>
                <w:rFonts w:hint="eastAsia" w:asciiTheme="minorEastAsia" w:hAnsiTheme="minorEastAsia" w:cstheme="minorEastAsia"/>
                <w:kern w:val="0"/>
                <w:sz w:val="16"/>
                <w:szCs w:val="16"/>
                <w:highlight w:val="yellow"/>
              </w:rPr>
            </w:pPr>
            <w:r>
              <w:rPr>
                <w:rFonts w:asciiTheme="minorEastAsia" w:hAnsiTheme="minorEastAsia" w:cstheme="minorEastAsia"/>
                <w:kern w:val="0"/>
                <w:sz w:val="16"/>
                <w:szCs w:val="16"/>
              </w:rPr>
              <w:t>52.19</w:t>
            </w:r>
            <w:r>
              <w:rPr>
                <w:rFonts w:hint="eastAsia" w:asciiTheme="minorEastAsia" w:hAnsiTheme="minorEastAsia" w:cstheme="minorEastAsia"/>
                <w:kern w:val="0"/>
                <w:sz w:val="16"/>
                <w:szCs w:val="16"/>
              </w:rPr>
              <w:t>%</w:t>
            </w:r>
          </w:p>
        </w:tc>
        <w:tc>
          <w:tcPr>
            <w:tcW w:w="1095" w:type="dxa"/>
            <w:vAlign w:val="center"/>
          </w:tcPr>
          <w:p w14:paraId="57739795">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40,000.00</w:t>
            </w:r>
          </w:p>
        </w:tc>
        <w:tc>
          <w:tcPr>
            <w:tcW w:w="1090" w:type="dxa"/>
            <w:vAlign w:val="center"/>
          </w:tcPr>
          <w:p w14:paraId="15F0B12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1,003.88</w:t>
            </w:r>
          </w:p>
        </w:tc>
        <w:tc>
          <w:tcPr>
            <w:tcW w:w="1002" w:type="dxa"/>
            <w:vAlign w:val="center"/>
          </w:tcPr>
          <w:p w14:paraId="22FDC45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1038" w:type="dxa"/>
            <w:vAlign w:val="center"/>
          </w:tcPr>
          <w:p w14:paraId="10318ADC">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0.42</w:t>
            </w:r>
            <w:r>
              <w:rPr>
                <w:rFonts w:hint="eastAsia" w:asciiTheme="minorEastAsia" w:hAnsiTheme="minorEastAsia" w:cstheme="minorEastAsia"/>
                <w:kern w:val="0"/>
                <w:sz w:val="16"/>
                <w:szCs w:val="16"/>
              </w:rPr>
              <w:t>%</w:t>
            </w:r>
          </w:p>
        </w:tc>
        <w:tc>
          <w:tcPr>
            <w:tcW w:w="976" w:type="dxa"/>
            <w:vAlign w:val="center"/>
          </w:tcPr>
          <w:p w14:paraId="768C3608">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41" w:type="dxa"/>
            <w:vAlign w:val="center"/>
          </w:tcPr>
          <w:p w14:paraId="0F113E52">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711" w:type="dxa"/>
            <w:vAlign w:val="center"/>
          </w:tcPr>
          <w:p w14:paraId="39B237F4">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79BF5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83" w:type="dxa"/>
            <w:vAlign w:val="center"/>
          </w:tcPr>
          <w:p w14:paraId="1E3375CC">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7626F0FF">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82" w:type="dxa"/>
            <w:vAlign w:val="center"/>
          </w:tcPr>
          <w:p w14:paraId="4EF853A8">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望来充</w:t>
            </w:r>
          </w:p>
        </w:tc>
        <w:tc>
          <w:tcPr>
            <w:tcW w:w="873" w:type="dxa"/>
            <w:vAlign w:val="center"/>
          </w:tcPr>
          <w:p w14:paraId="27AE38F6">
            <w:pPr>
              <w:widowControl/>
              <w:adjustRightInd w:val="0"/>
              <w:snapToGrid w:val="0"/>
              <w:rPr>
                <w:rFonts w:hint="eastAsia" w:eastAsia="宋体"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728" w:type="dxa"/>
            <w:vAlign w:val="center"/>
          </w:tcPr>
          <w:p w14:paraId="61CC028B">
            <w:pPr>
              <w:widowControl/>
              <w:jc w:val="right"/>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0</w:t>
            </w:r>
            <w:r>
              <w:rPr>
                <w:rFonts w:asciiTheme="minorEastAsia" w:hAnsiTheme="minorEastAsia" w:cstheme="minorEastAsia"/>
                <w:kern w:val="0"/>
                <w:sz w:val="16"/>
                <w:szCs w:val="16"/>
              </w:rPr>
              <w:t>.17%</w:t>
            </w:r>
          </w:p>
        </w:tc>
        <w:tc>
          <w:tcPr>
            <w:tcW w:w="1095" w:type="dxa"/>
            <w:vAlign w:val="center"/>
          </w:tcPr>
          <w:p w14:paraId="6A8A6BC8">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60,000.00</w:t>
            </w:r>
          </w:p>
        </w:tc>
        <w:tc>
          <w:tcPr>
            <w:tcW w:w="1090" w:type="dxa"/>
            <w:vAlign w:val="center"/>
          </w:tcPr>
          <w:p w14:paraId="5B55B6F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1002" w:type="dxa"/>
            <w:vAlign w:val="center"/>
          </w:tcPr>
          <w:p w14:paraId="0258FD5F">
            <w:pPr>
              <w:widowControl/>
              <w:adjustRightInd w:val="0"/>
              <w:snapToGrid w:val="0"/>
              <w:jc w:val="right"/>
              <w:rPr>
                <w:rFonts w:hint="eastAsia" w:asciiTheme="minorEastAsia" w:hAnsiTheme="minorEastAsia" w:cstheme="minorEastAsia"/>
                <w:kern w:val="0"/>
                <w:sz w:val="16"/>
                <w:szCs w:val="16"/>
              </w:rPr>
            </w:pPr>
            <w:bookmarkStart w:id="7" w:name="OLE_LINK17"/>
            <w:bookmarkStart w:id="8" w:name="OLE_LINK18"/>
            <w:r>
              <w:rPr>
                <w:rFonts w:asciiTheme="minorEastAsia" w:hAnsiTheme="minorEastAsia" w:cstheme="minorEastAsia"/>
                <w:kern w:val="0"/>
                <w:sz w:val="16"/>
                <w:szCs w:val="16"/>
              </w:rPr>
              <w:t>0.00</w:t>
            </w:r>
            <w:bookmarkEnd w:id="7"/>
            <w:bookmarkEnd w:id="8"/>
          </w:p>
        </w:tc>
        <w:tc>
          <w:tcPr>
            <w:tcW w:w="1038" w:type="dxa"/>
            <w:vAlign w:val="center"/>
          </w:tcPr>
          <w:p w14:paraId="2AFCDE9C">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w:t>
            </w:r>
          </w:p>
        </w:tc>
        <w:tc>
          <w:tcPr>
            <w:tcW w:w="976" w:type="dxa"/>
            <w:vAlign w:val="center"/>
          </w:tcPr>
          <w:p w14:paraId="41F4C9E3">
            <w:pPr>
              <w:widowControl/>
              <w:adjustRightInd w:val="0"/>
              <w:snapToGrid w:val="0"/>
              <w:rPr>
                <w:rFonts w:hint="eastAsia" w:asciiTheme="minorEastAsia" w:hAnsiTheme="minorEastAsia" w:cstheme="minorEastAsia"/>
                <w:kern w:val="0"/>
                <w:sz w:val="16"/>
                <w:szCs w:val="16"/>
              </w:rPr>
            </w:pPr>
            <w:r>
              <w:rPr>
                <w:rFonts w:asciiTheme="minorEastAsia" w:hAnsiTheme="minorEastAsia" w:cstheme="minorEastAsia"/>
                <w:kern w:val="0"/>
                <w:sz w:val="16"/>
                <w:szCs w:val="16"/>
              </w:rPr>
              <w:t>-</w:t>
            </w:r>
          </w:p>
        </w:tc>
        <w:tc>
          <w:tcPr>
            <w:tcW w:w="441" w:type="dxa"/>
            <w:vAlign w:val="center"/>
          </w:tcPr>
          <w:p w14:paraId="66F1D152">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711" w:type="dxa"/>
            <w:vAlign w:val="center"/>
          </w:tcPr>
          <w:p w14:paraId="65F8180B">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4D71B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65" w:type="dxa"/>
            <w:gridSpan w:val="2"/>
            <w:vAlign w:val="center"/>
          </w:tcPr>
          <w:p w14:paraId="2324A370">
            <w:pPr>
              <w:widowControl/>
              <w:adjustRightInd w:val="0"/>
              <w:snapToGrid w:val="0"/>
              <w:jc w:val="center"/>
              <w:rPr>
                <w:rFonts w:hint="eastAsia" w:ascii="宋体" w:hAnsi="宋体"/>
                <w:b/>
                <w:bCs/>
                <w:sz w:val="16"/>
                <w:szCs w:val="16"/>
              </w:rPr>
            </w:pPr>
            <w:r>
              <w:rPr>
                <w:rFonts w:hint="eastAsia" w:ascii="宋体" w:hAnsi="宋体"/>
                <w:b/>
                <w:bCs/>
                <w:sz w:val="16"/>
                <w:szCs w:val="16"/>
              </w:rPr>
              <w:t>合计</w:t>
            </w:r>
          </w:p>
        </w:tc>
        <w:tc>
          <w:tcPr>
            <w:tcW w:w="873" w:type="dxa"/>
            <w:vAlign w:val="center"/>
          </w:tcPr>
          <w:p w14:paraId="7BCF6D4B">
            <w:pPr>
              <w:pStyle w:val="33"/>
              <w:widowControl/>
              <w:spacing w:line="240" w:lineRule="auto"/>
              <w:jc w:val="right"/>
              <w:rPr>
                <w:rFonts w:hint="eastAsia" w:ascii="宋体" w:hAnsi="宋体" w:eastAsia="宋体"/>
                <w:b/>
                <w:bCs/>
                <w:sz w:val="16"/>
                <w:szCs w:val="16"/>
                <w:lang w:eastAsia="zh-CN"/>
              </w:rPr>
            </w:pPr>
            <w:r>
              <w:rPr>
                <w:rFonts w:hint="eastAsia" w:ascii="宋体" w:hAnsi="宋体" w:eastAsia="宋体"/>
                <w:b/>
                <w:bCs/>
                <w:sz w:val="16"/>
                <w:szCs w:val="16"/>
                <w:lang w:eastAsia="zh-CN"/>
              </w:rPr>
              <w:t>-</w:t>
            </w:r>
          </w:p>
        </w:tc>
        <w:tc>
          <w:tcPr>
            <w:tcW w:w="728" w:type="dxa"/>
            <w:vAlign w:val="center"/>
          </w:tcPr>
          <w:p w14:paraId="300A7246">
            <w:pPr>
              <w:widowControl/>
              <w:jc w:val="right"/>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1095" w:type="dxa"/>
            <w:vAlign w:val="center"/>
          </w:tcPr>
          <w:p w14:paraId="63D38824">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30</w:t>
            </w:r>
            <w:r>
              <w:rPr>
                <w:rFonts w:hint="eastAsia" w:asciiTheme="minorEastAsia" w:hAnsiTheme="minorEastAsia" w:cstheme="minorEastAsia"/>
                <w:b/>
                <w:bCs/>
                <w:kern w:val="0"/>
                <w:sz w:val="16"/>
                <w:szCs w:val="16"/>
              </w:rPr>
              <w:t>0,000.00</w:t>
            </w:r>
          </w:p>
        </w:tc>
        <w:tc>
          <w:tcPr>
            <w:tcW w:w="1090" w:type="dxa"/>
            <w:vAlign w:val="center"/>
          </w:tcPr>
          <w:p w14:paraId="08567FD7">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68,653.12</w:t>
            </w:r>
          </w:p>
        </w:tc>
        <w:tc>
          <w:tcPr>
            <w:tcW w:w="1002" w:type="dxa"/>
            <w:vAlign w:val="center"/>
          </w:tcPr>
          <w:p w14:paraId="3C287889">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0.00</w:t>
            </w:r>
          </w:p>
        </w:tc>
        <w:tc>
          <w:tcPr>
            <w:tcW w:w="1038" w:type="dxa"/>
            <w:vAlign w:val="center"/>
          </w:tcPr>
          <w:p w14:paraId="05968C1C">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28.45%</w:t>
            </w:r>
          </w:p>
        </w:tc>
        <w:tc>
          <w:tcPr>
            <w:tcW w:w="976" w:type="dxa"/>
            <w:vAlign w:val="center"/>
          </w:tcPr>
          <w:p w14:paraId="40090B0C">
            <w:pPr>
              <w:widowControl/>
              <w:adjustRightInd w:val="0"/>
              <w:snapToGrid w:val="0"/>
              <w:rPr>
                <w:rFonts w:hint="eastAsia" w:asciiTheme="minorEastAsia" w:hAnsiTheme="minorEastAsia" w:cstheme="minorEastAsia"/>
                <w:b/>
                <w:bCs/>
                <w:kern w:val="0"/>
                <w:sz w:val="16"/>
                <w:szCs w:val="16"/>
              </w:rPr>
            </w:pPr>
            <w:r>
              <w:rPr>
                <w:rFonts w:hint="eastAsia" w:asciiTheme="minorEastAsia" w:hAnsiTheme="minorEastAsia" w:cstheme="minorEastAsia"/>
                <w:kern w:val="0"/>
                <w:sz w:val="16"/>
                <w:szCs w:val="16"/>
              </w:rPr>
              <w:t>-</w:t>
            </w:r>
          </w:p>
        </w:tc>
        <w:tc>
          <w:tcPr>
            <w:tcW w:w="441" w:type="dxa"/>
            <w:vAlign w:val="center"/>
          </w:tcPr>
          <w:p w14:paraId="79DFDEFE">
            <w:pPr>
              <w:widowControl/>
              <w:adjustRightInd w:val="0"/>
              <w:snapToGrid w:val="0"/>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711" w:type="dxa"/>
            <w:vAlign w:val="center"/>
          </w:tcPr>
          <w:p w14:paraId="65E930CC">
            <w:pPr>
              <w:widowControl/>
              <w:adjustRightInd w:val="0"/>
              <w:snapToGrid w:val="0"/>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r>
    </w:tbl>
    <w:p w14:paraId="0C85CEC4">
      <w:pPr>
        <w:widowControl/>
        <w:adjustRightInd w:val="0"/>
        <w:snapToGrid w:val="0"/>
        <w:spacing w:line="560" w:lineRule="exact"/>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说明：本表尾差系四舍五入所致。</w:t>
      </w:r>
    </w:p>
    <w:p w14:paraId="0A1B5923">
      <w:pPr>
        <w:widowControl/>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二、累计对外担保数量及逾期担保的数量</w:t>
      </w:r>
    </w:p>
    <w:p w14:paraId="43815FE1">
      <w:pPr>
        <w:autoSpaceDE w:val="0"/>
        <w:autoSpaceDN w:val="0"/>
        <w:adjustRightInd w:val="0"/>
        <w:spacing w:before="156"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截至2026年</w:t>
      </w:r>
      <w:r>
        <w:rPr>
          <w:rFonts w:ascii="宋体" w:hAnsi="宋体" w:cs="宋体"/>
          <w:bCs/>
          <w:sz w:val="24"/>
          <w:szCs w:val="24"/>
        </w:rPr>
        <w:t>2</w:t>
      </w:r>
      <w:r>
        <w:rPr>
          <w:rFonts w:hint="eastAsia" w:ascii="宋体" w:hAnsi="宋体" w:cs="宋体"/>
          <w:bCs/>
          <w:sz w:val="24"/>
          <w:szCs w:val="24"/>
        </w:rPr>
        <w:t>月末，公司对外担保均为对子公司的担保，累计担保总额为300,000万元（其中已签署担保合同的担保总额为</w:t>
      </w:r>
      <w:r>
        <w:rPr>
          <w:rFonts w:ascii="宋体" w:hAnsi="宋体" w:cs="宋体"/>
          <w:bCs/>
          <w:sz w:val="24"/>
          <w:szCs w:val="24"/>
        </w:rPr>
        <w:t>130,374.10</w:t>
      </w:r>
      <w:r>
        <w:rPr>
          <w:rFonts w:hint="eastAsia" w:ascii="宋体" w:hAnsi="宋体" w:cs="宋体"/>
          <w:bCs/>
          <w:sz w:val="24"/>
          <w:szCs w:val="24"/>
        </w:rPr>
        <w:t>万元），担保余额为</w:t>
      </w:r>
      <w:r>
        <w:rPr>
          <w:rFonts w:ascii="宋体" w:hAnsi="宋体" w:cs="宋体"/>
          <w:bCs/>
          <w:sz w:val="24"/>
          <w:szCs w:val="24"/>
        </w:rPr>
        <w:t>68,653.12</w:t>
      </w:r>
      <w:r>
        <w:rPr>
          <w:rFonts w:hint="eastAsia" w:ascii="宋体" w:hAnsi="宋体" w:cs="宋体"/>
          <w:bCs/>
          <w:sz w:val="24"/>
          <w:szCs w:val="24"/>
        </w:rPr>
        <w:t>元，已签署担保合同的担保总额占公司最近一期经审计净资产的</w:t>
      </w:r>
      <w:r>
        <w:rPr>
          <w:rFonts w:ascii="宋体" w:hAnsi="宋体" w:cs="宋体"/>
          <w:bCs/>
          <w:sz w:val="24"/>
          <w:szCs w:val="24"/>
        </w:rPr>
        <w:t>54.02</w:t>
      </w:r>
      <w:r>
        <w:rPr>
          <w:rFonts w:hint="eastAsia" w:ascii="宋体" w:hAnsi="宋体" w:cs="宋体"/>
          <w:bCs/>
          <w:sz w:val="24"/>
          <w:szCs w:val="24"/>
        </w:rPr>
        <w:t>%，担保余额占公司最近一期经审计净资产的</w:t>
      </w:r>
      <w:r>
        <w:rPr>
          <w:rFonts w:ascii="宋体" w:hAnsi="宋体" w:cs="宋体"/>
          <w:bCs/>
          <w:sz w:val="24"/>
          <w:szCs w:val="24"/>
        </w:rPr>
        <w:t>28.45</w:t>
      </w:r>
      <w:r>
        <w:rPr>
          <w:rFonts w:hint="eastAsia" w:ascii="宋体" w:hAnsi="宋体" w:cs="宋体"/>
          <w:bCs/>
          <w:sz w:val="24"/>
          <w:szCs w:val="24"/>
        </w:rPr>
        <w:t>%；不存在逾期担保。</w:t>
      </w:r>
    </w:p>
    <w:p w14:paraId="4ECF296E">
      <w:pPr>
        <w:adjustRightInd w:val="0"/>
        <w:snapToGrid w:val="0"/>
        <w:spacing w:line="360" w:lineRule="auto"/>
        <w:rPr>
          <w:rFonts w:hint="eastAsia" w:asciiTheme="minorEastAsia" w:hAnsiTheme="minorEastAsia"/>
          <w:bCs/>
          <w:sz w:val="24"/>
          <w:szCs w:val="24"/>
        </w:rPr>
      </w:pPr>
    </w:p>
    <w:p w14:paraId="7C7538B3">
      <w:pPr>
        <w:adjustRightInd w:val="0"/>
        <w:snapToGrid w:val="0"/>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特此公告。</w:t>
      </w:r>
    </w:p>
    <w:p w14:paraId="380D1FC4">
      <w:pPr>
        <w:adjustRightInd w:val="0"/>
        <w:snapToGrid w:val="0"/>
        <w:spacing w:line="360" w:lineRule="auto"/>
        <w:rPr>
          <w:rFonts w:hint="eastAsia" w:asciiTheme="minorEastAsia" w:hAnsiTheme="minorEastAsia"/>
          <w:bCs/>
          <w:sz w:val="24"/>
          <w:szCs w:val="24"/>
        </w:rPr>
      </w:pPr>
    </w:p>
    <w:p w14:paraId="6A887C0A">
      <w:pPr>
        <w:adjustRightInd w:val="0"/>
        <w:snapToGrid w:val="0"/>
        <w:spacing w:line="360" w:lineRule="auto"/>
        <w:rPr>
          <w:rFonts w:hint="eastAsia" w:asciiTheme="minorEastAsia" w:hAnsiTheme="minorEastAsia"/>
          <w:bCs/>
          <w:sz w:val="24"/>
          <w:szCs w:val="24"/>
        </w:rPr>
      </w:pPr>
    </w:p>
    <w:p w14:paraId="110B83AC">
      <w:pPr>
        <w:adjustRightInd w:val="0"/>
        <w:snapToGrid w:val="0"/>
        <w:spacing w:line="360" w:lineRule="auto"/>
        <w:jc w:val="right"/>
        <w:rPr>
          <w:rFonts w:hint="eastAsia" w:asciiTheme="minorEastAsia" w:hAnsiTheme="minorEastAsia"/>
          <w:bCs/>
          <w:sz w:val="24"/>
          <w:szCs w:val="24"/>
        </w:rPr>
      </w:pPr>
      <w:r>
        <w:rPr>
          <w:rFonts w:hint="eastAsia" w:asciiTheme="minorEastAsia" w:hAnsiTheme="minorEastAsia"/>
          <w:bCs/>
          <w:sz w:val="24"/>
          <w:szCs w:val="24"/>
        </w:rPr>
        <w:t>重庆望变电气（集团）股份有限公司董事会</w:t>
      </w:r>
    </w:p>
    <w:p w14:paraId="1376CADD">
      <w:pPr>
        <w:adjustRightInd w:val="0"/>
        <w:snapToGrid w:val="0"/>
        <w:spacing w:line="360" w:lineRule="auto"/>
        <w:jc w:val="right"/>
        <w:rPr>
          <w:rFonts w:hint="eastAsia" w:asciiTheme="minorEastAsia" w:hAnsiTheme="minorEastAsia"/>
          <w:b/>
          <w:sz w:val="24"/>
          <w:szCs w:val="24"/>
        </w:rPr>
      </w:pPr>
      <w:r>
        <w:rPr>
          <w:rFonts w:hint="eastAsia" w:asciiTheme="minorEastAsia" w:hAnsiTheme="minorEastAsia"/>
          <w:bCs/>
          <w:sz w:val="24"/>
          <w:szCs w:val="24"/>
        </w:rPr>
        <w:t>202</w:t>
      </w:r>
      <w:r>
        <w:rPr>
          <w:rFonts w:asciiTheme="minorEastAsia" w:hAnsiTheme="minorEastAsia"/>
          <w:bCs/>
          <w:sz w:val="24"/>
          <w:szCs w:val="24"/>
        </w:rPr>
        <w:t>6</w:t>
      </w:r>
      <w:r>
        <w:rPr>
          <w:rFonts w:hint="eastAsia" w:asciiTheme="minorEastAsia" w:hAnsiTheme="minorEastAsia"/>
          <w:bCs/>
          <w:sz w:val="24"/>
          <w:szCs w:val="24"/>
        </w:rPr>
        <w:t>年</w:t>
      </w:r>
      <w:r>
        <w:rPr>
          <w:rFonts w:asciiTheme="minorEastAsia" w:hAnsiTheme="minorEastAsia"/>
          <w:bCs/>
          <w:sz w:val="24"/>
          <w:szCs w:val="24"/>
        </w:rPr>
        <w:t>3</w:t>
      </w:r>
      <w:r>
        <w:rPr>
          <w:rFonts w:hint="eastAsia" w:asciiTheme="minorEastAsia" w:hAnsiTheme="minorEastAsia"/>
          <w:bCs/>
          <w:sz w:val="24"/>
          <w:szCs w:val="24"/>
        </w:rPr>
        <w:t>月</w:t>
      </w:r>
      <w:r>
        <w:rPr>
          <w:rFonts w:hint="eastAsia" w:asciiTheme="minorEastAsia" w:hAnsiTheme="minorEastAsia"/>
          <w:bCs/>
          <w:sz w:val="24"/>
          <w:szCs w:val="24"/>
          <w:lang w:val="en-US" w:eastAsia="zh-CN"/>
        </w:rPr>
        <w:t>5</w:t>
      </w:r>
      <w:r>
        <w:rPr>
          <w:rFonts w:asciiTheme="minorEastAsia" w:hAnsiTheme="minorEastAsia"/>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1">
    <w:nsid w:val="52EA2A72"/>
    <w:multiLevelType w:val="singleLevel"/>
    <w:tmpl w:val="52EA2A72"/>
    <w:lvl w:ilvl="0" w:tentative="0">
      <w:start w:val="1"/>
      <w:numFmt w:val="chineseCounting"/>
      <w:suff w:val="nothing"/>
      <w:lvlText w:val="%1、"/>
      <w:lvlJc w:val="left"/>
      <w:rPr>
        <w:rFonts w:hint="eastAsia"/>
      </w:rPr>
    </w:lvl>
  </w:abstractNum>
  <w:abstractNum w:abstractNumId="2">
    <w:nsid w:val="580E64DF"/>
    <w:multiLevelType w:val="multilevel"/>
    <w:tmpl w:val="580E64DF"/>
    <w:lvl w:ilvl="0" w:tentative="0">
      <w:start w:val="1"/>
      <w:numFmt w:val="japaneseCounting"/>
      <w:lvlText w:val="（%1）"/>
      <w:lvlJc w:val="left"/>
      <w:pPr>
        <w:ind w:left="1200" w:hanging="720"/>
      </w:pPr>
      <w:rPr>
        <w:rFonts w:hint="default"/>
        <w:lang w:val="en-U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0533"/>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97EF7"/>
    <w:rsid w:val="000A0447"/>
    <w:rsid w:val="000A0B83"/>
    <w:rsid w:val="000A0BA2"/>
    <w:rsid w:val="000A2CC0"/>
    <w:rsid w:val="000A2F81"/>
    <w:rsid w:val="000A3309"/>
    <w:rsid w:val="000A5346"/>
    <w:rsid w:val="000A581B"/>
    <w:rsid w:val="000A6EA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07B"/>
    <w:rsid w:val="000E65BF"/>
    <w:rsid w:val="000F2FE3"/>
    <w:rsid w:val="000F32A6"/>
    <w:rsid w:val="000F39F7"/>
    <w:rsid w:val="000F4243"/>
    <w:rsid w:val="000F590A"/>
    <w:rsid w:val="00102EE0"/>
    <w:rsid w:val="00105374"/>
    <w:rsid w:val="00110400"/>
    <w:rsid w:val="00110C53"/>
    <w:rsid w:val="00110FD3"/>
    <w:rsid w:val="00111FD6"/>
    <w:rsid w:val="00117BC7"/>
    <w:rsid w:val="00120E15"/>
    <w:rsid w:val="001211A0"/>
    <w:rsid w:val="00123A27"/>
    <w:rsid w:val="0013329D"/>
    <w:rsid w:val="001337D8"/>
    <w:rsid w:val="001345D6"/>
    <w:rsid w:val="00135412"/>
    <w:rsid w:val="00136B4D"/>
    <w:rsid w:val="00142572"/>
    <w:rsid w:val="00142BE7"/>
    <w:rsid w:val="00144A2D"/>
    <w:rsid w:val="00145904"/>
    <w:rsid w:val="00145AE4"/>
    <w:rsid w:val="00145BFC"/>
    <w:rsid w:val="00146AE6"/>
    <w:rsid w:val="00147BA3"/>
    <w:rsid w:val="001509BD"/>
    <w:rsid w:val="00153D9F"/>
    <w:rsid w:val="00154ECD"/>
    <w:rsid w:val="00154F63"/>
    <w:rsid w:val="00157662"/>
    <w:rsid w:val="0016101B"/>
    <w:rsid w:val="001627BA"/>
    <w:rsid w:val="001635C5"/>
    <w:rsid w:val="001656ED"/>
    <w:rsid w:val="001745A0"/>
    <w:rsid w:val="00174FAC"/>
    <w:rsid w:val="001763D0"/>
    <w:rsid w:val="00180494"/>
    <w:rsid w:val="00183AD3"/>
    <w:rsid w:val="001868A3"/>
    <w:rsid w:val="00186AC7"/>
    <w:rsid w:val="0019044B"/>
    <w:rsid w:val="00191AE4"/>
    <w:rsid w:val="00192312"/>
    <w:rsid w:val="00192FA9"/>
    <w:rsid w:val="001953C1"/>
    <w:rsid w:val="00196816"/>
    <w:rsid w:val="00196FD0"/>
    <w:rsid w:val="001A2E2D"/>
    <w:rsid w:val="001A3084"/>
    <w:rsid w:val="001A3B41"/>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D8C"/>
    <w:rsid w:val="001C3E4D"/>
    <w:rsid w:val="001C3E6D"/>
    <w:rsid w:val="001C61C9"/>
    <w:rsid w:val="001C6DB0"/>
    <w:rsid w:val="001D05A4"/>
    <w:rsid w:val="001D091E"/>
    <w:rsid w:val="001D157D"/>
    <w:rsid w:val="001D269D"/>
    <w:rsid w:val="001D5956"/>
    <w:rsid w:val="001D5AFC"/>
    <w:rsid w:val="001D5BCD"/>
    <w:rsid w:val="001D6ABC"/>
    <w:rsid w:val="001E0E4D"/>
    <w:rsid w:val="001E1D88"/>
    <w:rsid w:val="001E6D93"/>
    <w:rsid w:val="001E75C4"/>
    <w:rsid w:val="001F00E1"/>
    <w:rsid w:val="001F2083"/>
    <w:rsid w:val="001F422F"/>
    <w:rsid w:val="001F6B2B"/>
    <w:rsid w:val="001F78FD"/>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44EAA"/>
    <w:rsid w:val="00245192"/>
    <w:rsid w:val="00250A64"/>
    <w:rsid w:val="00254100"/>
    <w:rsid w:val="00254558"/>
    <w:rsid w:val="0025534A"/>
    <w:rsid w:val="00256A7E"/>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0D99"/>
    <w:rsid w:val="002A2075"/>
    <w:rsid w:val="002A20B3"/>
    <w:rsid w:val="002A3368"/>
    <w:rsid w:val="002A40E8"/>
    <w:rsid w:val="002A5BD6"/>
    <w:rsid w:val="002A6062"/>
    <w:rsid w:val="002B03CC"/>
    <w:rsid w:val="002B0DEC"/>
    <w:rsid w:val="002B3462"/>
    <w:rsid w:val="002B5FF1"/>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5ACE"/>
    <w:rsid w:val="002E6FED"/>
    <w:rsid w:val="002F0218"/>
    <w:rsid w:val="002F4615"/>
    <w:rsid w:val="002F7887"/>
    <w:rsid w:val="00300E0C"/>
    <w:rsid w:val="003068DE"/>
    <w:rsid w:val="00306CA5"/>
    <w:rsid w:val="003071F3"/>
    <w:rsid w:val="003102ED"/>
    <w:rsid w:val="00313D6A"/>
    <w:rsid w:val="00317BC2"/>
    <w:rsid w:val="003216A9"/>
    <w:rsid w:val="003216CC"/>
    <w:rsid w:val="0032367F"/>
    <w:rsid w:val="00323A21"/>
    <w:rsid w:val="0032458D"/>
    <w:rsid w:val="003253F1"/>
    <w:rsid w:val="00325654"/>
    <w:rsid w:val="0032604F"/>
    <w:rsid w:val="003315CC"/>
    <w:rsid w:val="00331C12"/>
    <w:rsid w:val="00333180"/>
    <w:rsid w:val="00335113"/>
    <w:rsid w:val="00337BE0"/>
    <w:rsid w:val="003402FE"/>
    <w:rsid w:val="003428F3"/>
    <w:rsid w:val="0034755D"/>
    <w:rsid w:val="00352FEF"/>
    <w:rsid w:val="0035344A"/>
    <w:rsid w:val="00353872"/>
    <w:rsid w:val="00354510"/>
    <w:rsid w:val="00355E1B"/>
    <w:rsid w:val="00356E10"/>
    <w:rsid w:val="00357EA0"/>
    <w:rsid w:val="00361700"/>
    <w:rsid w:val="00363AFD"/>
    <w:rsid w:val="003651DF"/>
    <w:rsid w:val="00366CCD"/>
    <w:rsid w:val="00367453"/>
    <w:rsid w:val="00370B90"/>
    <w:rsid w:val="00374A19"/>
    <w:rsid w:val="00375B9C"/>
    <w:rsid w:val="00376606"/>
    <w:rsid w:val="003766EF"/>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2A48"/>
    <w:rsid w:val="003C419C"/>
    <w:rsid w:val="003C5828"/>
    <w:rsid w:val="003C6D08"/>
    <w:rsid w:val="003D0C6A"/>
    <w:rsid w:val="003D2966"/>
    <w:rsid w:val="003D4895"/>
    <w:rsid w:val="003D508E"/>
    <w:rsid w:val="003E1749"/>
    <w:rsid w:val="003E2F2A"/>
    <w:rsid w:val="003E2F5B"/>
    <w:rsid w:val="003E4198"/>
    <w:rsid w:val="003E4F31"/>
    <w:rsid w:val="003E6330"/>
    <w:rsid w:val="003F0EBE"/>
    <w:rsid w:val="003F1498"/>
    <w:rsid w:val="003F333E"/>
    <w:rsid w:val="003F59BF"/>
    <w:rsid w:val="003F619C"/>
    <w:rsid w:val="003F651E"/>
    <w:rsid w:val="00404DF5"/>
    <w:rsid w:val="00405849"/>
    <w:rsid w:val="00405F2E"/>
    <w:rsid w:val="0040650F"/>
    <w:rsid w:val="00410144"/>
    <w:rsid w:val="004119E8"/>
    <w:rsid w:val="00413896"/>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770"/>
    <w:rsid w:val="00447880"/>
    <w:rsid w:val="004544C4"/>
    <w:rsid w:val="0045461B"/>
    <w:rsid w:val="00456A7E"/>
    <w:rsid w:val="0046022C"/>
    <w:rsid w:val="00460544"/>
    <w:rsid w:val="0046389B"/>
    <w:rsid w:val="004640B3"/>
    <w:rsid w:val="004677A9"/>
    <w:rsid w:val="004700D5"/>
    <w:rsid w:val="00471C18"/>
    <w:rsid w:val="00472CF3"/>
    <w:rsid w:val="004770E5"/>
    <w:rsid w:val="00481F48"/>
    <w:rsid w:val="00482007"/>
    <w:rsid w:val="004824A9"/>
    <w:rsid w:val="0048261B"/>
    <w:rsid w:val="0048475F"/>
    <w:rsid w:val="00484A20"/>
    <w:rsid w:val="00484CD8"/>
    <w:rsid w:val="00490CC5"/>
    <w:rsid w:val="00491A22"/>
    <w:rsid w:val="00491D85"/>
    <w:rsid w:val="004923D4"/>
    <w:rsid w:val="00493080"/>
    <w:rsid w:val="00496916"/>
    <w:rsid w:val="00497DCE"/>
    <w:rsid w:val="004A1747"/>
    <w:rsid w:val="004A1FDB"/>
    <w:rsid w:val="004A2D0E"/>
    <w:rsid w:val="004A330D"/>
    <w:rsid w:val="004A3F7D"/>
    <w:rsid w:val="004A4875"/>
    <w:rsid w:val="004A4FC9"/>
    <w:rsid w:val="004A6E8A"/>
    <w:rsid w:val="004B1154"/>
    <w:rsid w:val="004B1C50"/>
    <w:rsid w:val="004B35E5"/>
    <w:rsid w:val="004B6EAD"/>
    <w:rsid w:val="004B72D1"/>
    <w:rsid w:val="004B735F"/>
    <w:rsid w:val="004B744D"/>
    <w:rsid w:val="004C2A62"/>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23BE"/>
    <w:rsid w:val="0052623E"/>
    <w:rsid w:val="00526671"/>
    <w:rsid w:val="00530B9D"/>
    <w:rsid w:val="00530BC3"/>
    <w:rsid w:val="0053277A"/>
    <w:rsid w:val="00533839"/>
    <w:rsid w:val="0053497E"/>
    <w:rsid w:val="00536579"/>
    <w:rsid w:val="00536BBF"/>
    <w:rsid w:val="00537CD7"/>
    <w:rsid w:val="00540BFA"/>
    <w:rsid w:val="00541D93"/>
    <w:rsid w:val="00543F21"/>
    <w:rsid w:val="00544318"/>
    <w:rsid w:val="005443EB"/>
    <w:rsid w:val="00545344"/>
    <w:rsid w:val="005465C2"/>
    <w:rsid w:val="00547C23"/>
    <w:rsid w:val="0055150E"/>
    <w:rsid w:val="00552D74"/>
    <w:rsid w:val="005543F1"/>
    <w:rsid w:val="00554723"/>
    <w:rsid w:val="0055573D"/>
    <w:rsid w:val="00555DE5"/>
    <w:rsid w:val="005568D3"/>
    <w:rsid w:val="00557E2E"/>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4DA8"/>
    <w:rsid w:val="005A53C1"/>
    <w:rsid w:val="005A5B25"/>
    <w:rsid w:val="005A5C2E"/>
    <w:rsid w:val="005B0EDC"/>
    <w:rsid w:val="005B236C"/>
    <w:rsid w:val="005B2BCD"/>
    <w:rsid w:val="005B4D00"/>
    <w:rsid w:val="005B4EB2"/>
    <w:rsid w:val="005B5F6B"/>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3A3E"/>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040A"/>
    <w:rsid w:val="006B25FE"/>
    <w:rsid w:val="006B3409"/>
    <w:rsid w:val="006B56A9"/>
    <w:rsid w:val="006B6815"/>
    <w:rsid w:val="006C1BEB"/>
    <w:rsid w:val="006C3189"/>
    <w:rsid w:val="006C35D2"/>
    <w:rsid w:val="006C6684"/>
    <w:rsid w:val="006C6BCF"/>
    <w:rsid w:val="006C6E81"/>
    <w:rsid w:val="006C7D14"/>
    <w:rsid w:val="006D219E"/>
    <w:rsid w:val="006D26B5"/>
    <w:rsid w:val="006D2DEE"/>
    <w:rsid w:val="006D420A"/>
    <w:rsid w:val="006D47BA"/>
    <w:rsid w:val="006D4D88"/>
    <w:rsid w:val="006D553C"/>
    <w:rsid w:val="006D6908"/>
    <w:rsid w:val="006D6B22"/>
    <w:rsid w:val="006E4344"/>
    <w:rsid w:val="006E58EC"/>
    <w:rsid w:val="006E5D45"/>
    <w:rsid w:val="006E5EA3"/>
    <w:rsid w:val="006E6123"/>
    <w:rsid w:val="006E6358"/>
    <w:rsid w:val="006E6F6F"/>
    <w:rsid w:val="006F42F8"/>
    <w:rsid w:val="006F53B5"/>
    <w:rsid w:val="006F6D69"/>
    <w:rsid w:val="006F7462"/>
    <w:rsid w:val="00700132"/>
    <w:rsid w:val="007014E3"/>
    <w:rsid w:val="00702F53"/>
    <w:rsid w:val="007030FE"/>
    <w:rsid w:val="00703E29"/>
    <w:rsid w:val="0070411A"/>
    <w:rsid w:val="00704EED"/>
    <w:rsid w:val="00707527"/>
    <w:rsid w:val="0071102F"/>
    <w:rsid w:val="00713304"/>
    <w:rsid w:val="007138A7"/>
    <w:rsid w:val="007138E6"/>
    <w:rsid w:val="00714974"/>
    <w:rsid w:val="00715DED"/>
    <w:rsid w:val="00722B3D"/>
    <w:rsid w:val="0072538A"/>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2113"/>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C53B0"/>
    <w:rsid w:val="007C6C50"/>
    <w:rsid w:val="007D43E7"/>
    <w:rsid w:val="007D5728"/>
    <w:rsid w:val="007D6893"/>
    <w:rsid w:val="007E01D7"/>
    <w:rsid w:val="007E26F1"/>
    <w:rsid w:val="007E275A"/>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13D9"/>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4D3D"/>
    <w:rsid w:val="00846D95"/>
    <w:rsid w:val="008531D2"/>
    <w:rsid w:val="008573C5"/>
    <w:rsid w:val="00861AE5"/>
    <w:rsid w:val="00862B46"/>
    <w:rsid w:val="00862EC3"/>
    <w:rsid w:val="00862EDB"/>
    <w:rsid w:val="00865F95"/>
    <w:rsid w:val="0086682C"/>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36E"/>
    <w:rsid w:val="008D75D1"/>
    <w:rsid w:val="008E2909"/>
    <w:rsid w:val="008E371A"/>
    <w:rsid w:val="008E3E68"/>
    <w:rsid w:val="008E4F0C"/>
    <w:rsid w:val="008E596B"/>
    <w:rsid w:val="008F054A"/>
    <w:rsid w:val="008F15CA"/>
    <w:rsid w:val="008F2ACB"/>
    <w:rsid w:val="008F3D66"/>
    <w:rsid w:val="008F7EB1"/>
    <w:rsid w:val="009003F6"/>
    <w:rsid w:val="00902240"/>
    <w:rsid w:val="00904E4D"/>
    <w:rsid w:val="00913296"/>
    <w:rsid w:val="009154D9"/>
    <w:rsid w:val="00916FD9"/>
    <w:rsid w:val="009174BD"/>
    <w:rsid w:val="009178E3"/>
    <w:rsid w:val="00926436"/>
    <w:rsid w:val="009278A1"/>
    <w:rsid w:val="00927CC9"/>
    <w:rsid w:val="00930785"/>
    <w:rsid w:val="00930E04"/>
    <w:rsid w:val="00931325"/>
    <w:rsid w:val="0093179D"/>
    <w:rsid w:val="00932D84"/>
    <w:rsid w:val="00933ABB"/>
    <w:rsid w:val="00933BFC"/>
    <w:rsid w:val="00935948"/>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53BB"/>
    <w:rsid w:val="00975A09"/>
    <w:rsid w:val="0097707A"/>
    <w:rsid w:val="00977C25"/>
    <w:rsid w:val="009828C4"/>
    <w:rsid w:val="00983F0D"/>
    <w:rsid w:val="0099203A"/>
    <w:rsid w:val="00992AF1"/>
    <w:rsid w:val="0099345F"/>
    <w:rsid w:val="00996537"/>
    <w:rsid w:val="00997254"/>
    <w:rsid w:val="009A1B98"/>
    <w:rsid w:val="009A240C"/>
    <w:rsid w:val="009A415C"/>
    <w:rsid w:val="009A5C7D"/>
    <w:rsid w:val="009A5DAF"/>
    <w:rsid w:val="009A6862"/>
    <w:rsid w:val="009A6874"/>
    <w:rsid w:val="009A7601"/>
    <w:rsid w:val="009B026F"/>
    <w:rsid w:val="009B3ABD"/>
    <w:rsid w:val="009B7A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3BBD"/>
    <w:rsid w:val="00A84995"/>
    <w:rsid w:val="00A85E4A"/>
    <w:rsid w:val="00A86143"/>
    <w:rsid w:val="00A86B82"/>
    <w:rsid w:val="00A87A5F"/>
    <w:rsid w:val="00A92E02"/>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C6058"/>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33BF1"/>
    <w:rsid w:val="00B413F2"/>
    <w:rsid w:val="00B423B7"/>
    <w:rsid w:val="00B46BAB"/>
    <w:rsid w:val="00B47730"/>
    <w:rsid w:val="00B47C6F"/>
    <w:rsid w:val="00B47D6F"/>
    <w:rsid w:val="00B47F45"/>
    <w:rsid w:val="00B50D6B"/>
    <w:rsid w:val="00B523BF"/>
    <w:rsid w:val="00B5278E"/>
    <w:rsid w:val="00B53A02"/>
    <w:rsid w:val="00B555DE"/>
    <w:rsid w:val="00B6051E"/>
    <w:rsid w:val="00B6154C"/>
    <w:rsid w:val="00B64D0A"/>
    <w:rsid w:val="00B70394"/>
    <w:rsid w:val="00B72F06"/>
    <w:rsid w:val="00B7320A"/>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69B5"/>
    <w:rsid w:val="00BB76A0"/>
    <w:rsid w:val="00BB7816"/>
    <w:rsid w:val="00BC2958"/>
    <w:rsid w:val="00BC33E9"/>
    <w:rsid w:val="00BC43CD"/>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1AD1"/>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20A2E"/>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718C"/>
    <w:rsid w:val="00C81131"/>
    <w:rsid w:val="00C823BD"/>
    <w:rsid w:val="00C823C0"/>
    <w:rsid w:val="00C82ADF"/>
    <w:rsid w:val="00C82C20"/>
    <w:rsid w:val="00C85898"/>
    <w:rsid w:val="00C85AB9"/>
    <w:rsid w:val="00C85B23"/>
    <w:rsid w:val="00C85DFC"/>
    <w:rsid w:val="00C87D04"/>
    <w:rsid w:val="00C87EFC"/>
    <w:rsid w:val="00C914B2"/>
    <w:rsid w:val="00C93E0F"/>
    <w:rsid w:val="00C96AA0"/>
    <w:rsid w:val="00C96B4E"/>
    <w:rsid w:val="00C9754C"/>
    <w:rsid w:val="00CA0B24"/>
    <w:rsid w:val="00CA40B0"/>
    <w:rsid w:val="00CA43C1"/>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8C5"/>
    <w:rsid w:val="00CF1E4D"/>
    <w:rsid w:val="00CF2A56"/>
    <w:rsid w:val="00CF44E4"/>
    <w:rsid w:val="00CF46A3"/>
    <w:rsid w:val="00CF5FE7"/>
    <w:rsid w:val="00D07067"/>
    <w:rsid w:val="00D075AA"/>
    <w:rsid w:val="00D101BD"/>
    <w:rsid w:val="00D10370"/>
    <w:rsid w:val="00D11861"/>
    <w:rsid w:val="00D11A9A"/>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5177"/>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768"/>
    <w:rsid w:val="00D72C3E"/>
    <w:rsid w:val="00D72E1C"/>
    <w:rsid w:val="00D74508"/>
    <w:rsid w:val="00D75432"/>
    <w:rsid w:val="00D776E0"/>
    <w:rsid w:val="00D81B90"/>
    <w:rsid w:val="00D81E99"/>
    <w:rsid w:val="00D83B77"/>
    <w:rsid w:val="00D83E3D"/>
    <w:rsid w:val="00D84631"/>
    <w:rsid w:val="00D9330E"/>
    <w:rsid w:val="00D94F4D"/>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C09"/>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DF66F8"/>
    <w:rsid w:val="00E00586"/>
    <w:rsid w:val="00E03013"/>
    <w:rsid w:val="00E05768"/>
    <w:rsid w:val="00E06E01"/>
    <w:rsid w:val="00E07261"/>
    <w:rsid w:val="00E10295"/>
    <w:rsid w:val="00E1343F"/>
    <w:rsid w:val="00E163F5"/>
    <w:rsid w:val="00E16CF4"/>
    <w:rsid w:val="00E17AAA"/>
    <w:rsid w:val="00E2023C"/>
    <w:rsid w:val="00E22FD2"/>
    <w:rsid w:val="00E254DE"/>
    <w:rsid w:val="00E279C7"/>
    <w:rsid w:val="00E27F47"/>
    <w:rsid w:val="00E30737"/>
    <w:rsid w:val="00E321B4"/>
    <w:rsid w:val="00E337B2"/>
    <w:rsid w:val="00E36046"/>
    <w:rsid w:val="00E368C1"/>
    <w:rsid w:val="00E36F0D"/>
    <w:rsid w:val="00E42686"/>
    <w:rsid w:val="00E45713"/>
    <w:rsid w:val="00E46E94"/>
    <w:rsid w:val="00E5141A"/>
    <w:rsid w:val="00E525EF"/>
    <w:rsid w:val="00E52B61"/>
    <w:rsid w:val="00E542ED"/>
    <w:rsid w:val="00E54D91"/>
    <w:rsid w:val="00E54EA4"/>
    <w:rsid w:val="00E551C4"/>
    <w:rsid w:val="00E5608B"/>
    <w:rsid w:val="00E564F8"/>
    <w:rsid w:val="00E56FD8"/>
    <w:rsid w:val="00E57237"/>
    <w:rsid w:val="00E57487"/>
    <w:rsid w:val="00E57F99"/>
    <w:rsid w:val="00E61E73"/>
    <w:rsid w:val="00E64429"/>
    <w:rsid w:val="00E646EE"/>
    <w:rsid w:val="00E65054"/>
    <w:rsid w:val="00E6534B"/>
    <w:rsid w:val="00E66780"/>
    <w:rsid w:val="00E6678D"/>
    <w:rsid w:val="00E705B8"/>
    <w:rsid w:val="00E711DA"/>
    <w:rsid w:val="00E7715F"/>
    <w:rsid w:val="00E773DC"/>
    <w:rsid w:val="00E810AC"/>
    <w:rsid w:val="00E828AC"/>
    <w:rsid w:val="00E87CC3"/>
    <w:rsid w:val="00E90841"/>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3E7B"/>
    <w:rsid w:val="00F65DB9"/>
    <w:rsid w:val="00F6669E"/>
    <w:rsid w:val="00F666D6"/>
    <w:rsid w:val="00F67D23"/>
    <w:rsid w:val="00F7320A"/>
    <w:rsid w:val="00F74046"/>
    <w:rsid w:val="00F74414"/>
    <w:rsid w:val="00F75D20"/>
    <w:rsid w:val="00F80FF3"/>
    <w:rsid w:val="00F82D72"/>
    <w:rsid w:val="00F83E12"/>
    <w:rsid w:val="00F85225"/>
    <w:rsid w:val="00F87EFB"/>
    <w:rsid w:val="00F90C71"/>
    <w:rsid w:val="00F91F35"/>
    <w:rsid w:val="00F922A6"/>
    <w:rsid w:val="00F9471C"/>
    <w:rsid w:val="00F94792"/>
    <w:rsid w:val="00F96A74"/>
    <w:rsid w:val="00FA2572"/>
    <w:rsid w:val="00FA28FE"/>
    <w:rsid w:val="00FA3583"/>
    <w:rsid w:val="00FA4372"/>
    <w:rsid w:val="00FA5CE2"/>
    <w:rsid w:val="00FB0403"/>
    <w:rsid w:val="00FB33C3"/>
    <w:rsid w:val="00FB5F54"/>
    <w:rsid w:val="00FB6C04"/>
    <w:rsid w:val="00FC4C29"/>
    <w:rsid w:val="00FD1625"/>
    <w:rsid w:val="00FD179F"/>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82F25E4"/>
    <w:rsid w:val="0A8F5D00"/>
    <w:rsid w:val="0D75742F"/>
    <w:rsid w:val="0E552DBD"/>
    <w:rsid w:val="0EA7186A"/>
    <w:rsid w:val="0EE330C9"/>
    <w:rsid w:val="0F334F50"/>
    <w:rsid w:val="10C04E65"/>
    <w:rsid w:val="10D017D9"/>
    <w:rsid w:val="1348114C"/>
    <w:rsid w:val="138B5786"/>
    <w:rsid w:val="17A816E2"/>
    <w:rsid w:val="1CA0145B"/>
    <w:rsid w:val="1E1E31CB"/>
    <w:rsid w:val="21603540"/>
    <w:rsid w:val="24011B01"/>
    <w:rsid w:val="261F3F85"/>
    <w:rsid w:val="27F7686E"/>
    <w:rsid w:val="29E03A2B"/>
    <w:rsid w:val="2B7ED06F"/>
    <w:rsid w:val="2D3D4257"/>
    <w:rsid w:val="2DDA0928"/>
    <w:rsid w:val="32B41128"/>
    <w:rsid w:val="334E7C57"/>
    <w:rsid w:val="35DE565D"/>
    <w:rsid w:val="369547EC"/>
    <w:rsid w:val="37AE5168"/>
    <w:rsid w:val="3A3D4F53"/>
    <w:rsid w:val="3CB67CD6"/>
    <w:rsid w:val="3EA0216F"/>
    <w:rsid w:val="448B464D"/>
    <w:rsid w:val="4B887C1D"/>
    <w:rsid w:val="4C115F9A"/>
    <w:rsid w:val="4C2537F3"/>
    <w:rsid w:val="4DF83A42"/>
    <w:rsid w:val="4EE778FC"/>
    <w:rsid w:val="4FC3481F"/>
    <w:rsid w:val="50446580"/>
    <w:rsid w:val="513525FF"/>
    <w:rsid w:val="520934A3"/>
    <w:rsid w:val="53093721"/>
    <w:rsid w:val="535029F5"/>
    <w:rsid w:val="53B322F3"/>
    <w:rsid w:val="5DFE4393"/>
    <w:rsid w:val="5DFF29E0"/>
    <w:rsid w:val="5EDF3AF6"/>
    <w:rsid w:val="5FD94BDB"/>
    <w:rsid w:val="615835BC"/>
    <w:rsid w:val="62FA5B29"/>
    <w:rsid w:val="64632CB3"/>
    <w:rsid w:val="66F45E44"/>
    <w:rsid w:val="68B41309"/>
    <w:rsid w:val="69CA7F8E"/>
    <w:rsid w:val="6B32428E"/>
    <w:rsid w:val="6B9F0575"/>
    <w:rsid w:val="6D464B59"/>
    <w:rsid w:val="735760D9"/>
    <w:rsid w:val="739E1612"/>
    <w:rsid w:val="73EF1F12"/>
    <w:rsid w:val="74FF02FF"/>
    <w:rsid w:val="75AF62D4"/>
    <w:rsid w:val="760E16AB"/>
    <w:rsid w:val="784244D4"/>
    <w:rsid w:val="7BC14284"/>
    <w:rsid w:val="7F921D31"/>
    <w:rsid w:val="AEFF9737"/>
    <w:rsid w:val="AEFFAB2F"/>
    <w:rsid w:val="DDFFD477"/>
    <w:rsid w:val="FADAB0B6"/>
    <w:rsid w:val="FFBBF84C"/>
    <w:rsid w:val="FFED0BA2"/>
    <w:rsid w:val="FFFB1921"/>
    <w:rsid w:val="FFFFE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30"/>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32"/>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99"/>
  </w:style>
  <w:style w:type="paragraph" w:customStyle="1" w:styleId="31">
    <w:name w:val="p0"/>
    <w:basedOn w:val="1"/>
    <w:qFormat/>
    <w:uiPriority w:val="0"/>
    <w:pPr>
      <w:widowControl/>
    </w:pPr>
    <w:rPr>
      <w:rFonts w:ascii="Book Antiqua" w:hAnsi="Book Antiqua" w:eastAsia="宋体" w:cs="宋体"/>
      <w:kern w:val="0"/>
      <w:sz w:val="24"/>
      <w:szCs w:val="24"/>
    </w:rPr>
  </w:style>
  <w:style w:type="character" w:customStyle="1" w:styleId="32">
    <w:name w:val="批注主题 字符"/>
    <w:basedOn w:val="30"/>
    <w:link w:val="10"/>
    <w:semiHidden/>
    <w:qFormat/>
    <w:uiPriority w:val="99"/>
    <w:rPr>
      <w:b/>
      <w:bCs/>
    </w:rPr>
  </w:style>
  <w:style w:type="paragraph" w:customStyle="1" w:styleId="33">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E8975CD8-AA4F-4D77-B72C-58EE482ADE73}"/>
      </w:docPartPr>
      <w:docPartBody>
        <w:p w14:paraId="36671599">
          <w:pPr>
            <w:pStyle w:val="5"/>
            <w:rPr>
              <w:rFonts w:hint="eastAsia"/>
            </w:rPr>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17C2E"/>
    <w:rsid w:val="00032CF6"/>
    <w:rsid w:val="000343D6"/>
    <w:rsid w:val="0004422D"/>
    <w:rsid w:val="00046446"/>
    <w:rsid w:val="00051238"/>
    <w:rsid w:val="00064914"/>
    <w:rsid w:val="00075BAF"/>
    <w:rsid w:val="000777D0"/>
    <w:rsid w:val="00091B04"/>
    <w:rsid w:val="000927E9"/>
    <w:rsid w:val="000A06CA"/>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16D18"/>
    <w:rsid w:val="00252087"/>
    <w:rsid w:val="00256D89"/>
    <w:rsid w:val="00267098"/>
    <w:rsid w:val="00282A8F"/>
    <w:rsid w:val="002E4793"/>
    <w:rsid w:val="002E6255"/>
    <w:rsid w:val="00306E3D"/>
    <w:rsid w:val="00316D69"/>
    <w:rsid w:val="00341B55"/>
    <w:rsid w:val="0036106E"/>
    <w:rsid w:val="00376DD0"/>
    <w:rsid w:val="003810DE"/>
    <w:rsid w:val="0038145E"/>
    <w:rsid w:val="00386EAD"/>
    <w:rsid w:val="003906EF"/>
    <w:rsid w:val="003A17F8"/>
    <w:rsid w:val="003B04EC"/>
    <w:rsid w:val="003B50D8"/>
    <w:rsid w:val="003D385E"/>
    <w:rsid w:val="003E041E"/>
    <w:rsid w:val="00421A1B"/>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A4601"/>
    <w:rsid w:val="005B1E3A"/>
    <w:rsid w:val="005D54A9"/>
    <w:rsid w:val="005F2A81"/>
    <w:rsid w:val="00602E7D"/>
    <w:rsid w:val="00633C9B"/>
    <w:rsid w:val="00645CB1"/>
    <w:rsid w:val="00650792"/>
    <w:rsid w:val="00687612"/>
    <w:rsid w:val="006B7BE4"/>
    <w:rsid w:val="006F7CB0"/>
    <w:rsid w:val="0072633B"/>
    <w:rsid w:val="00734AD3"/>
    <w:rsid w:val="00752860"/>
    <w:rsid w:val="00765580"/>
    <w:rsid w:val="00777D46"/>
    <w:rsid w:val="00780325"/>
    <w:rsid w:val="00781254"/>
    <w:rsid w:val="00781F4C"/>
    <w:rsid w:val="007857F3"/>
    <w:rsid w:val="0078693E"/>
    <w:rsid w:val="00787F28"/>
    <w:rsid w:val="007A02EA"/>
    <w:rsid w:val="007A0348"/>
    <w:rsid w:val="007A4890"/>
    <w:rsid w:val="007B1DA5"/>
    <w:rsid w:val="007B3C12"/>
    <w:rsid w:val="007B4410"/>
    <w:rsid w:val="007C7D34"/>
    <w:rsid w:val="00800822"/>
    <w:rsid w:val="00807700"/>
    <w:rsid w:val="00816D8E"/>
    <w:rsid w:val="00846FD4"/>
    <w:rsid w:val="00851D98"/>
    <w:rsid w:val="00885C37"/>
    <w:rsid w:val="00932870"/>
    <w:rsid w:val="0095546D"/>
    <w:rsid w:val="009830BF"/>
    <w:rsid w:val="00985796"/>
    <w:rsid w:val="00996F77"/>
    <w:rsid w:val="0099798A"/>
    <w:rsid w:val="009A3853"/>
    <w:rsid w:val="009C514E"/>
    <w:rsid w:val="009D0A97"/>
    <w:rsid w:val="00A10E8A"/>
    <w:rsid w:val="00A214F0"/>
    <w:rsid w:val="00A3150D"/>
    <w:rsid w:val="00A41B15"/>
    <w:rsid w:val="00A60268"/>
    <w:rsid w:val="00A64C5D"/>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16D4"/>
    <w:rsid w:val="00C24685"/>
    <w:rsid w:val="00C278FF"/>
    <w:rsid w:val="00CA0358"/>
    <w:rsid w:val="00CB6A47"/>
    <w:rsid w:val="00CE3E32"/>
    <w:rsid w:val="00D047C8"/>
    <w:rsid w:val="00D179CB"/>
    <w:rsid w:val="00D26A94"/>
    <w:rsid w:val="00D316FF"/>
    <w:rsid w:val="00D711C1"/>
    <w:rsid w:val="00D74505"/>
    <w:rsid w:val="00D839D6"/>
    <w:rsid w:val="00DB1BD1"/>
    <w:rsid w:val="00DB5C2D"/>
    <w:rsid w:val="00DC38EF"/>
    <w:rsid w:val="00DD166E"/>
    <w:rsid w:val="00DF2409"/>
    <w:rsid w:val="00E00DD3"/>
    <w:rsid w:val="00E1343F"/>
    <w:rsid w:val="00E717CD"/>
    <w:rsid w:val="00E93D68"/>
    <w:rsid w:val="00EA05B6"/>
    <w:rsid w:val="00F143C9"/>
    <w:rsid w:val="00F476B3"/>
    <w:rsid w:val="00F774E5"/>
    <w:rsid w:val="00FA2FFB"/>
    <w:rsid w:val="00FB2CFA"/>
    <w:rsid w:val="00FB76F7"/>
    <w:rsid w:val="00FD227C"/>
    <w:rsid w:val="00FD657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]]></t:sse>
</t:template>
</file>

<file path=customXml/item2.xml><?xml version="1.0" encoding="utf-8"?>
<sc:sections xmlns:sc="http://mapping.word.org/2014/section/customize"/>
</file>

<file path=customXml/item3.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Props1.xml><?xml version="1.0" encoding="utf-8"?>
<ds:datastoreItem xmlns:ds="http://schemas.openxmlformats.org/officeDocument/2006/customXml" ds:itemID="{79D1966B-B5CF-4302-8569-0B599E11CC01}">
  <ds:schemaRefs/>
</ds:datastoreItem>
</file>

<file path=customXml/itemProps2.xml><?xml version="1.0" encoding="utf-8"?>
<ds:datastoreItem xmlns:ds="http://schemas.openxmlformats.org/officeDocument/2006/customXml" ds:itemID="{4511FAB5-2CDB-48CD-B312-58EE4B3BFC5C}">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6946C436-FBFE-4818-858F-57D7285C98D3}">
  <ds:schemaRefs/>
</ds:datastoreItem>
</file>

<file path=docProps/app.xml><?xml version="1.0" encoding="utf-8"?>
<Properties xmlns="http://schemas.openxmlformats.org/officeDocument/2006/extended-properties" xmlns:vt="http://schemas.openxmlformats.org/officeDocument/2006/docPropsVTypes">
  <Template>SSEReport</Template>
  <Company>HP</Company>
  <Pages>3</Pages>
  <Words>1430</Words>
  <Characters>1758</Characters>
  <Lines>73</Lines>
  <Paragraphs>42</Paragraphs>
  <TotalTime>379</TotalTime>
  <ScaleCrop>false</ScaleCrop>
  <LinksUpToDate>false</LinksUpToDate>
  <CharactersWithSpaces>1775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2025-07-03T01:10:00Z</dcterms:created>
  <dc:creator>yangzhiquan</dc:creator>
  <cp:lastModifiedBy>雯亦</cp:lastModifiedBy>
  <dcterms:modified xsi:type="dcterms:W3CDTF">2026-03-04T07:56:21Z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2052-12.1.0.25225</vt:lpwstr>
  </property>
  <property fmtid="{D5CDD505-2E9C-101B-9397-08002B2CF9AE}" pid="4" name="ICV">
    <vt:lpwstr>EA28E39982B445D09B4474C327E3810A_13</vt:lpwstr>
  </property>
</Properties>
</file>