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重庆望变电气（集团）股份有限公司</w:t>
      </w:r>
    </w:p>
    <w:p>
      <w:pPr>
        <w:jc w:val="center"/>
        <w:rPr>
          <w:rFonts w:hint="eastAsia" w:ascii="仿宋" w:hAnsi="仿宋" w:eastAsia="仿宋" w:cs="仿宋"/>
          <w:b/>
          <w:bCs/>
          <w:color w:val="000000"/>
          <w:sz w:val="44"/>
          <w:szCs w:val="44"/>
        </w:rPr>
      </w:pPr>
      <w:r>
        <w:rPr>
          <w:rFonts w:hint="eastAsia" w:ascii="仿宋" w:hAnsi="仿宋" w:eastAsia="仿宋" w:cs="仿宋"/>
          <w:b/>
          <w:bCs/>
          <w:sz w:val="44"/>
          <w:szCs w:val="44"/>
        </w:rPr>
        <w:t>董事会</w:t>
      </w:r>
      <w:r>
        <w:rPr>
          <w:rFonts w:hint="eastAsia" w:ascii="仿宋" w:hAnsi="仿宋" w:eastAsia="仿宋" w:cs="仿宋"/>
          <w:b/>
          <w:bCs/>
          <w:color w:val="000000"/>
          <w:sz w:val="44"/>
          <w:szCs w:val="44"/>
        </w:rPr>
        <w:t>关于202</w:t>
      </w:r>
      <w:r>
        <w:rPr>
          <w:rFonts w:hint="eastAsia" w:ascii="仿宋" w:hAnsi="仿宋" w:eastAsia="仿宋" w:cs="仿宋"/>
          <w:b/>
          <w:bCs/>
          <w:color w:val="000000"/>
          <w:sz w:val="44"/>
          <w:szCs w:val="44"/>
          <w:lang w:val="en-US" w:eastAsia="zh-CN"/>
        </w:rPr>
        <w:t>5</w:t>
      </w:r>
      <w:r>
        <w:rPr>
          <w:rFonts w:hint="eastAsia" w:ascii="仿宋" w:hAnsi="仿宋" w:eastAsia="仿宋" w:cs="仿宋"/>
          <w:b/>
          <w:bCs/>
          <w:color w:val="000000"/>
          <w:sz w:val="44"/>
          <w:szCs w:val="44"/>
        </w:rPr>
        <w:t>年度对会计师事务所</w:t>
      </w:r>
    </w:p>
    <w:p>
      <w:pPr>
        <w:jc w:val="center"/>
        <w:rPr>
          <w:rFonts w:ascii="黑体" w:hAnsi="黑体" w:eastAsia="仿宋"/>
          <w:b/>
          <w:bCs/>
          <w:color w:val="000000"/>
          <w:sz w:val="36"/>
        </w:rPr>
      </w:pPr>
      <w:r>
        <w:rPr>
          <w:rFonts w:hint="eastAsia" w:ascii="仿宋" w:hAnsi="仿宋" w:eastAsia="仿宋" w:cs="仿宋"/>
          <w:b/>
          <w:bCs/>
          <w:color w:val="000000"/>
          <w:sz w:val="44"/>
          <w:szCs w:val="44"/>
        </w:rPr>
        <w:t>履职情况</w:t>
      </w:r>
      <w:r>
        <w:rPr>
          <w:rFonts w:hint="eastAsia" w:ascii="仿宋" w:hAnsi="仿宋" w:eastAsia="仿宋" w:cs="仿宋"/>
          <w:b/>
          <w:bCs/>
          <w:color w:val="000000"/>
          <w:sz w:val="44"/>
          <w:szCs w:val="44"/>
          <w:lang w:eastAsia="zh-CN"/>
        </w:rPr>
        <w:t>的</w:t>
      </w:r>
      <w:r>
        <w:rPr>
          <w:rFonts w:hint="eastAsia" w:ascii="仿宋" w:hAnsi="仿宋" w:eastAsia="仿宋" w:cs="仿宋"/>
          <w:b/>
          <w:bCs/>
          <w:color w:val="000000"/>
          <w:sz w:val="44"/>
          <w:szCs w:val="44"/>
        </w:rPr>
        <w:t>评估报告</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重庆望变电气（集团）股份有限公</w:t>
      </w:r>
      <w:bookmarkStart w:id="1" w:name="_GoBack"/>
      <w:bookmarkEnd w:id="1"/>
      <w:r>
        <w:rPr>
          <w:rFonts w:hint="eastAsia" w:ascii="仿宋" w:hAnsi="仿宋" w:eastAsia="仿宋" w:cs="仿宋"/>
          <w:color w:val="000000"/>
          <w:sz w:val="32"/>
          <w:szCs w:val="32"/>
        </w:rPr>
        <w:t>司（以下简称“公司”）聘请天健会计师事务所（特殊普通合伙）（以下简称“天健会所”）作为公司</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年度</w:t>
      </w:r>
      <w:r>
        <w:rPr>
          <w:rFonts w:hint="eastAsia" w:ascii="仿宋" w:hAnsi="仿宋" w:eastAsia="仿宋" w:cs="仿宋"/>
          <w:color w:val="000000"/>
          <w:sz w:val="32"/>
          <w:szCs w:val="32"/>
        </w:rPr>
        <w:t>财务及内部控制审计机构。根据相关法律、法规及规章制度的规定，公司</w:t>
      </w:r>
      <w:r>
        <w:rPr>
          <w:rFonts w:hint="eastAsia" w:ascii="仿宋" w:hAnsi="仿宋" w:eastAsia="仿宋" w:cs="仿宋"/>
          <w:color w:val="000000"/>
          <w:sz w:val="32"/>
          <w:szCs w:val="32"/>
          <w:lang w:val="en-US" w:eastAsia="zh-CN"/>
        </w:rPr>
        <w:t>董事会</w:t>
      </w:r>
      <w:r>
        <w:rPr>
          <w:rFonts w:hint="eastAsia" w:ascii="仿宋" w:hAnsi="仿宋" w:eastAsia="仿宋" w:cs="仿宋"/>
          <w:color w:val="000000"/>
          <w:sz w:val="32"/>
          <w:szCs w:val="32"/>
        </w:rPr>
        <w:t>对天健会所</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年度</w:t>
      </w:r>
      <w:r>
        <w:rPr>
          <w:rFonts w:hint="eastAsia" w:ascii="仿宋" w:hAnsi="仿宋" w:eastAsia="仿宋" w:cs="仿宋"/>
          <w:color w:val="000000"/>
          <w:sz w:val="32"/>
          <w:szCs w:val="32"/>
        </w:rPr>
        <w:t>履职情况进行了评估。经评估，公司</w:t>
      </w:r>
      <w:r>
        <w:rPr>
          <w:rFonts w:hint="eastAsia" w:ascii="仿宋" w:hAnsi="仿宋" w:eastAsia="仿宋" w:cs="仿宋"/>
          <w:color w:val="000000"/>
          <w:sz w:val="32"/>
          <w:szCs w:val="32"/>
          <w:lang w:val="en-US" w:eastAsia="zh-CN"/>
        </w:rPr>
        <w:t>董事会</w:t>
      </w:r>
      <w:r>
        <w:rPr>
          <w:rFonts w:hint="eastAsia" w:ascii="仿宋" w:hAnsi="仿宋" w:eastAsia="仿宋" w:cs="仿宋"/>
          <w:color w:val="000000"/>
          <w:sz w:val="32"/>
          <w:szCs w:val="32"/>
        </w:rPr>
        <w:t>认为天健会所具备为上市公司提供审计服务的经验、专业胜任能力、投资者保护能力和良好的诚信状况，恪尽职守，遵循独立、客观、公正的执业准则，较好地完成了各项审计工作，具体情况如下：</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一、资质条件</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天健会所成立于201</w:t>
      </w:r>
      <w:r>
        <w:rPr>
          <w:rFonts w:ascii="仿宋" w:hAnsi="仿宋" w:eastAsia="仿宋" w:cs="仿宋"/>
          <w:color w:val="000000"/>
          <w:sz w:val="32"/>
          <w:szCs w:val="32"/>
        </w:rPr>
        <w:t>1</w:t>
      </w:r>
      <w:r>
        <w:rPr>
          <w:rFonts w:hint="eastAsia" w:ascii="仿宋" w:hAnsi="仿宋" w:eastAsia="仿宋" w:cs="仿宋"/>
          <w:color w:val="000000"/>
          <w:sz w:val="32"/>
          <w:szCs w:val="32"/>
        </w:rPr>
        <w:t>年</w:t>
      </w:r>
      <w:r>
        <w:rPr>
          <w:rFonts w:ascii="仿宋" w:hAnsi="仿宋" w:eastAsia="仿宋" w:cs="仿宋"/>
          <w:color w:val="000000"/>
          <w:sz w:val="32"/>
          <w:szCs w:val="32"/>
        </w:rPr>
        <w:t>7</w:t>
      </w:r>
      <w:r>
        <w:rPr>
          <w:rFonts w:hint="eastAsia" w:ascii="仿宋" w:hAnsi="仿宋" w:eastAsia="仿宋" w:cs="仿宋"/>
          <w:color w:val="000000"/>
          <w:sz w:val="32"/>
          <w:szCs w:val="32"/>
        </w:rPr>
        <w:t>月</w:t>
      </w:r>
      <w:r>
        <w:rPr>
          <w:rFonts w:ascii="仿宋" w:hAnsi="仿宋" w:eastAsia="仿宋" w:cs="仿宋"/>
          <w:color w:val="000000"/>
          <w:sz w:val="32"/>
          <w:szCs w:val="32"/>
        </w:rPr>
        <w:t>18</w:t>
      </w:r>
      <w:r>
        <w:rPr>
          <w:rFonts w:hint="eastAsia" w:ascii="仿宋" w:hAnsi="仿宋" w:eastAsia="仿宋" w:cs="仿宋"/>
          <w:color w:val="000000"/>
          <w:sz w:val="32"/>
          <w:szCs w:val="32"/>
        </w:rPr>
        <w:t>日，组织形式为特殊普通合伙，注册地址为浙江省杭州市西湖区灵隐街道西溪路128号，首席合伙人为钟建国。</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截至202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年12月31日，天健会所共有合伙人2</w:t>
      </w:r>
      <w:r>
        <w:rPr>
          <w:rFonts w:hint="eastAsia" w:ascii="仿宋" w:hAnsi="仿宋" w:eastAsia="仿宋" w:cs="仿宋"/>
          <w:color w:val="000000"/>
          <w:sz w:val="32"/>
          <w:szCs w:val="32"/>
          <w:lang w:val="en-US" w:eastAsia="zh-CN"/>
        </w:rPr>
        <w:t>50</w:t>
      </w:r>
      <w:r>
        <w:rPr>
          <w:rFonts w:hint="eastAsia" w:ascii="仿宋" w:hAnsi="仿宋" w:eastAsia="仿宋" w:cs="仿宋"/>
          <w:color w:val="000000"/>
          <w:sz w:val="32"/>
          <w:szCs w:val="32"/>
        </w:rPr>
        <w:t>人，注册会计师23</w:t>
      </w:r>
      <w:r>
        <w:rPr>
          <w:rFonts w:hint="eastAsia" w:ascii="仿宋" w:hAnsi="仿宋" w:eastAsia="仿宋" w:cs="仿宋"/>
          <w:color w:val="000000"/>
          <w:sz w:val="32"/>
          <w:szCs w:val="32"/>
          <w:lang w:val="en-US" w:eastAsia="zh-CN"/>
        </w:rPr>
        <w:t>63</w:t>
      </w:r>
      <w:r>
        <w:rPr>
          <w:rFonts w:hint="eastAsia" w:ascii="仿宋" w:hAnsi="仿宋" w:eastAsia="仿宋" w:cs="仿宋"/>
          <w:color w:val="000000"/>
          <w:sz w:val="32"/>
          <w:szCs w:val="32"/>
        </w:rPr>
        <w:t>人，其中签署过证券服务业务审计报告的注册会计师人数有9</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4人。</w:t>
      </w:r>
    </w:p>
    <w:p>
      <w:pPr>
        <w:pStyle w:val="2"/>
        <w:shd w:val="clear" w:color="auto" w:fill="FFFFFF"/>
        <w:spacing w:before="0" w:after="0" w:line="560" w:lineRule="exact"/>
        <w:ind w:firstLineChars="200"/>
        <w:jc w:val="both"/>
        <w:rPr>
          <w:rFonts w:hint="eastAsia" w:ascii="仿宋" w:hAnsi="仿宋" w:eastAsia="仿宋" w:cs="仿宋"/>
          <w:color w:val="000000"/>
          <w:kern w:val="2"/>
          <w:sz w:val="32"/>
          <w:szCs w:val="32"/>
        </w:rPr>
      </w:pPr>
      <w:bookmarkStart w:id="0" w:name="_Hlk111825735"/>
      <w:r>
        <w:rPr>
          <w:rFonts w:hint="eastAsia" w:ascii="仿宋" w:hAnsi="仿宋" w:eastAsia="仿宋" w:cs="仿宋"/>
          <w:color w:val="000000"/>
          <w:kern w:val="2"/>
          <w:sz w:val="32"/>
          <w:szCs w:val="32"/>
        </w:rPr>
        <w:t>202</w:t>
      </w:r>
      <w:r>
        <w:rPr>
          <w:rFonts w:hint="eastAsia" w:ascii="仿宋" w:hAnsi="仿宋" w:eastAsia="仿宋" w:cs="仿宋"/>
          <w:color w:val="000000"/>
          <w:kern w:val="2"/>
          <w:sz w:val="32"/>
          <w:szCs w:val="32"/>
          <w:lang w:val="en-US" w:eastAsia="zh-CN"/>
        </w:rPr>
        <w:t>4</w:t>
      </w:r>
      <w:r>
        <w:rPr>
          <w:rFonts w:hint="eastAsia" w:ascii="仿宋" w:hAnsi="仿宋" w:eastAsia="仿宋" w:cs="仿宋"/>
          <w:color w:val="000000"/>
          <w:kern w:val="2"/>
          <w:sz w:val="32"/>
          <w:szCs w:val="32"/>
        </w:rPr>
        <w:t>年度业务总收入：29.69亿元，202</w:t>
      </w:r>
      <w:r>
        <w:rPr>
          <w:rFonts w:hint="eastAsia" w:ascii="仿宋" w:hAnsi="仿宋" w:eastAsia="仿宋" w:cs="仿宋"/>
          <w:color w:val="000000"/>
          <w:kern w:val="2"/>
          <w:sz w:val="32"/>
          <w:szCs w:val="32"/>
          <w:lang w:val="en-US" w:eastAsia="zh-CN"/>
        </w:rPr>
        <w:t>4</w:t>
      </w:r>
      <w:r>
        <w:rPr>
          <w:rFonts w:hint="eastAsia" w:ascii="仿宋" w:hAnsi="仿宋" w:eastAsia="仿宋" w:cs="仿宋"/>
          <w:color w:val="000000"/>
          <w:kern w:val="2"/>
          <w:sz w:val="32"/>
          <w:szCs w:val="32"/>
        </w:rPr>
        <w:t>年度审计业务收入：25.63亿元，202</w:t>
      </w:r>
      <w:r>
        <w:rPr>
          <w:rFonts w:hint="eastAsia" w:ascii="仿宋" w:hAnsi="仿宋" w:eastAsia="仿宋" w:cs="仿宋"/>
          <w:color w:val="000000"/>
          <w:kern w:val="2"/>
          <w:sz w:val="32"/>
          <w:szCs w:val="32"/>
          <w:lang w:val="en-US" w:eastAsia="zh-CN"/>
        </w:rPr>
        <w:t>4</w:t>
      </w:r>
      <w:r>
        <w:rPr>
          <w:rFonts w:hint="eastAsia" w:ascii="仿宋" w:hAnsi="仿宋" w:eastAsia="仿宋" w:cs="仿宋"/>
          <w:color w:val="000000"/>
          <w:kern w:val="2"/>
          <w:sz w:val="32"/>
          <w:szCs w:val="32"/>
        </w:rPr>
        <w:t>年度证券业务收入：1</w:t>
      </w:r>
      <w:r>
        <w:rPr>
          <w:rFonts w:hint="eastAsia" w:ascii="仿宋" w:hAnsi="仿宋" w:eastAsia="仿宋" w:cs="仿宋"/>
          <w:color w:val="000000"/>
          <w:kern w:val="2"/>
          <w:sz w:val="32"/>
          <w:szCs w:val="32"/>
          <w:lang w:val="en-US" w:eastAsia="zh-CN"/>
        </w:rPr>
        <w:t>4</w:t>
      </w:r>
      <w:r>
        <w:rPr>
          <w:rFonts w:hint="eastAsia" w:ascii="仿宋" w:hAnsi="仿宋" w:eastAsia="仿宋" w:cs="仿宋"/>
          <w:color w:val="000000"/>
          <w:kern w:val="2"/>
          <w:sz w:val="32"/>
          <w:szCs w:val="32"/>
        </w:rPr>
        <w:t>.</w:t>
      </w:r>
      <w:r>
        <w:rPr>
          <w:rFonts w:hint="eastAsia" w:ascii="仿宋" w:hAnsi="仿宋" w:eastAsia="仿宋" w:cs="仿宋"/>
          <w:color w:val="000000"/>
          <w:kern w:val="2"/>
          <w:sz w:val="32"/>
          <w:szCs w:val="32"/>
          <w:lang w:val="en-US" w:eastAsia="zh-CN"/>
        </w:rPr>
        <w:t>65</w:t>
      </w:r>
      <w:r>
        <w:rPr>
          <w:rFonts w:hint="eastAsia" w:ascii="仿宋" w:hAnsi="仿宋" w:eastAsia="仿宋" w:cs="仿宋"/>
          <w:color w:val="000000"/>
          <w:kern w:val="2"/>
          <w:sz w:val="32"/>
          <w:szCs w:val="32"/>
        </w:rPr>
        <w:t>亿元，202</w:t>
      </w:r>
      <w:r>
        <w:rPr>
          <w:rFonts w:hint="eastAsia" w:ascii="仿宋" w:hAnsi="仿宋" w:eastAsia="仿宋" w:cs="仿宋"/>
          <w:color w:val="000000"/>
          <w:kern w:val="2"/>
          <w:sz w:val="32"/>
          <w:szCs w:val="32"/>
          <w:lang w:val="en-US" w:eastAsia="zh-CN"/>
        </w:rPr>
        <w:t>4</w:t>
      </w:r>
      <w:r>
        <w:rPr>
          <w:rFonts w:hint="eastAsia" w:ascii="仿宋" w:hAnsi="仿宋" w:eastAsia="仿宋" w:cs="仿宋"/>
          <w:color w:val="000000"/>
          <w:kern w:val="2"/>
          <w:sz w:val="32"/>
          <w:szCs w:val="32"/>
        </w:rPr>
        <w:t>年度上市公司审计客户家数：</w:t>
      </w:r>
      <w:bookmarkEnd w:id="0"/>
      <w:r>
        <w:rPr>
          <w:rFonts w:hint="eastAsia" w:ascii="仿宋" w:hAnsi="仿宋" w:eastAsia="仿宋" w:cs="仿宋"/>
          <w:color w:val="000000"/>
          <w:kern w:val="2"/>
          <w:sz w:val="32"/>
          <w:szCs w:val="32"/>
          <w:lang w:val="en-US" w:eastAsia="zh-CN"/>
        </w:rPr>
        <w:t>756</w:t>
      </w:r>
      <w:r>
        <w:rPr>
          <w:rFonts w:hint="eastAsia" w:ascii="仿宋" w:hAnsi="仿宋" w:eastAsia="仿宋" w:cs="仿宋"/>
          <w:color w:val="000000"/>
          <w:kern w:val="2"/>
          <w:sz w:val="32"/>
          <w:szCs w:val="32"/>
        </w:rPr>
        <w:t>；主要承接制造业、信息传输软件和信息技术服务业、批发和零售业、电力、热力、燃气及水生产和供应业相关行业审计业务公司。</w:t>
      </w:r>
    </w:p>
    <w:p>
      <w:pPr>
        <w:pStyle w:val="2"/>
        <w:spacing w:line="56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天健会所在望变电气同行业上市公司的审计客户家数为</w:t>
      </w:r>
      <w:r>
        <w:rPr>
          <w:rFonts w:ascii="仿宋" w:hAnsi="仿宋" w:eastAsia="仿宋" w:cs="仿宋"/>
          <w:kern w:val="2"/>
          <w:sz w:val="32"/>
          <w:szCs w:val="32"/>
        </w:rPr>
        <w:t>5</w:t>
      </w:r>
      <w:r>
        <w:rPr>
          <w:rFonts w:hint="eastAsia" w:ascii="仿宋" w:hAnsi="仿宋" w:eastAsia="仿宋" w:cs="仿宋"/>
          <w:kern w:val="2"/>
          <w:sz w:val="32"/>
          <w:szCs w:val="32"/>
          <w:lang w:val="en-US" w:eastAsia="zh-CN"/>
        </w:rPr>
        <w:t>78</w:t>
      </w:r>
      <w:r>
        <w:rPr>
          <w:rFonts w:hint="eastAsia" w:ascii="仿宋" w:hAnsi="仿宋" w:eastAsia="仿宋" w:cs="仿宋"/>
          <w:kern w:val="2"/>
          <w:sz w:val="32"/>
          <w:szCs w:val="32"/>
        </w:rPr>
        <w:t>家。</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二、执业记录</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1、基本信息</w:t>
      </w:r>
    </w:p>
    <w:p>
      <w:pPr>
        <w:pStyle w:val="2"/>
        <w:spacing w:line="56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项目合伙人及拟签字注册会计师1：黄巧梅，200</w:t>
      </w:r>
      <w:r>
        <w:rPr>
          <w:rFonts w:ascii="仿宋" w:hAnsi="仿宋" w:eastAsia="仿宋" w:cs="仿宋"/>
          <w:kern w:val="2"/>
          <w:sz w:val="32"/>
          <w:szCs w:val="32"/>
        </w:rPr>
        <w:t>0</w:t>
      </w:r>
      <w:r>
        <w:rPr>
          <w:rFonts w:hint="eastAsia" w:ascii="仿宋" w:hAnsi="仿宋" w:eastAsia="仿宋" w:cs="仿宋"/>
          <w:kern w:val="2"/>
          <w:sz w:val="32"/>
          <w:szCs w:val="32"/>
        </w:rPr>
        <w:t>年成为注册会计师，</w:t>
      </w:r>
      <w:r>
        <w:rPr>
          <w:rFonts w:ascii="仿宋" w:hAnsi="仿宋" w:eastAsia="仿宋" w:cs="仿宋"/>
          <w:kern w:val="2"/>
          <w:sz w:val="32"/>
          <w:szCs w:val="32"/>
        </w:rPr>
        <w:t>1998</w:t>
      </w:r>
      <w:r>
        <w:rPr>
          <w:rFonts w:hint="eastAsia" w:ascii="仿宋" w:hAnsi="仿宋" w:eastAsia="仿宋" w:cs="仿宋"/>
          <w:kern w:val="2"/>
          <w:sz w:val="32"/>
          <w:szCs w:val="32"/>
        </w:rPr>
        <w:t>年开始从事上市公司审计，</w:t>
      </w:r>
      <w:r>
        <w:rPr>
          <w:rFonts w:ascii="仿宋" w:hAnsi="仿宋" w:eastAsia="仿宋" w:cs="仿宋"/>
          <w:kern w:val="2"/>
          <w:sz w:val="32"/>
          <w:szCs w:val="32"/>
        </w:rPr>
        <w:t>2012</w:t>
      </w:r>
      <w:r>
        <w:rPr>
          <w:rFonts w:hint="eastAsia" w:ascii="仿宋" w:hAnsi="仿宋" w:eastAsia="仿宋" w:cs="仿宋"/>
          <w:kern w:val="2"/>
          <w:sz w:val="32"/>
          <w:szCs w:val="32"/>
        </w:rPr>
        <w:t>年开始在天健会所执业，2024年10月开始为本公司提供审计服务；近三年签署或复核了北大医药、重庆啤酒、博腾股份、望变电气等上市公司审计报告。</w:t>
      </w:r>
    </w:p>
    <w:p>
      <w:pPr>
        <w:pStyle w:val="2"/>
        <w:spacing w:line="56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签字注册会计师2：李小燕，2013年成为注册会计师，2007年开始从事上市公司审计，2013年开始在会所执业，2024年10月开始为本公司提供审计服务；近三年签署了新大正、涪陵榨菜、望变电气</w:t>
      </w:r>
      <w:r>
        <w:rPr>
          <w:rFonts w:hint="eastAsia" w:ascii="仿宋" w:hAnsi="仿宋" w:eastAsia="仿宋" w:cs="仿宋"/>
          <w:kern w:val="2"/>
          <w:sz w:val="32"/>
          <w:szCs w:val="32"/>
          <w:lang w:val="en-US" w:eastAsia="zh-CN"/>
        </w:rPr>
        <w:t>三</w:t>
      </w:r>
      <w:r>
        <w:rPr>
          <w:rFonts w:hint="eastAsia" w:ascii="仿宋" w:hAnsi="仿宋" w:eastAsia="仿宋" w:cs="仿宋"/>
          <w:kern w:val="2"/>
          <w:sz w:val="32"/>
          <w:szCs w:val="32"/>
        </w:rPr>
        <w:t>家上市公司审计报告。</w:t>
      </w:r>
    </w:p>
    <w:p>
      <w:pPr>
        <w:pStyle w:val="2"/>
        <w:spacing w:line="56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项目质量控制复核人：李正卫，2006年成为注册会计师，2004年开始从事上市公司审计，2006年开始在天健会所执业，2024年10月开始为本公司提供审计服务；近三年签署或复核了杭州热点、天普股份、东方电缆等上市公司审计报告。</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2、独立性与诚信记录情况</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项目合伙人、签字注册会计师、项目质量控制复核人不存在违反《中国注册会计师职业道德守则》对独立性要求的情形。</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项目合伙人、签字注册会计师、项目质量控制复核人近三年未因执业行为受到刑事处罚，受到证监会及其派出机构、行业主管部门等的行政处罚、监督管理措施，受到证券交易所、行业协会等自律组织的自律监管措施、纪律处分。</w:t>
      </w:r>
    </w:p>
    <w:p>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三、质量管理水平</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1、项目咨询</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年年度审计过程中，天健会所就公司重大会计审计事项与专业技术部及时咨询，为公司提供有效的咨询帮助及可行的解决方案。</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2、意见分歧解决</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天健会所制定了明确的专业意见分歧解决机制。当项目组成员、项目质量复核人或专业技术部成员之间存在未解决的专业意见分歧时，需要咨询专业技术部负责人。在专业意见分歧解决之前不得出具报告。</w:t>
      </w:r>
      <w:r>
        <w:rPr>
          <w:rFonts w:hint="eastAsia" w:ascii="仿宋" w:hAnsi="仿宋" w:eastAsia="仿宋" w:cs="仿宋"/>
          <w:color w:val="000000"/>
          <w:sz w:val="32"/>
          <w:szCs w:val="32"/>
          <w:lang w:eastAsia="zh-CN"/>
        </w:rPr>
        <w:t>2025年度</w:t>
      </w:r>
      <w:r>
        <w:rPr>
          <w:rFonts w:hint="eastAsia" w:ascii="仿宋" w:hAnsi="仿宋" w:eastAsia="仿宋" w:cs="仿宋"/>
          <w:color w:val="000000"/>
          <w:sz w:val="32"/>
          <w:szCs w:val="32"/>
        </w:rPr>
        <w:t>审计过程中，天健会所就公司的所有重大会计审计事项达成一致意见，无不能解决的意见分歧。</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3、项目质量复核与检查</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审计过程中，天健会所实施完善的项目质量复核程序，主要包括审计项目组内部复核、独立项目质量复核以及专业技术复核。审计项目组内部复核主要包括对所有工作底稿执行详细复核，以及由经验丰富的审计小组成员执行第二层次复核。进而确保所开展审计工作的充分性、财务报表的公允列报以及审计报告的适当性。天健会所设有质量管理团队，主要聚焦于应对质量风险，优化质量目标，承担事务所和项目层面的质量管理事项。包括事务所层面的质量管理体系建设实施相关工作，以及项目层面的质量复核和督导，识别质量问题及风险，执行根源分析，实现优化和改进。确保项目组在报告签署之前已经按照项目质量管理要求充分、恰当地执行审计程序。</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4、质量管理缺陷识别与整改</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天健会所根据注册会计师职业道德规范和审计准则的有关规定，制定相应的内部管理制度和政策，这些制度和政策构成天健会所完整、全面的质量管理体系。</w:t>
      </w:r>
      <w:r>
        <w:rPr>
          <w:rFonts w:hint="eastAsia" w:ascii="仿宋" w:hAnsi="仿宋" w:eastAsia="仿宋" w:cs="仿宋"/>
          <w:color w:val="000000"/>
          <w:sz w:val="32"/>
          <w:szCs w:val="32"/>
          <w:lang w:eastAsia="zh-CN"/>
        </w:rPr>
        <w:t>2025年度</w:t>
      </w:r>
      <w:r>
        <w:rPr>
          <w:rFonts w:hint="eastAsia" w:ascii="仿宋" w:hAnsi="仿宋" w:eastAsia="仿宋" w:cs="仿宋"/>
          <w:color w:val="000000"/>
          <w:sz w:val="32"/>
          <w:szCs w:val="32"/>
        </w:rPr>
        <w:t>审计过程中，天健会所勤勉尽责，质量管理的各项措施得到了有效执行。</w:t>
      </w:r>
    </w:p>
    <w:p>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四、工作方案</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eastAsia="zh-CN"/>
        </w:rPr>
        <w:t>2025年度</w:t>
      </w:r>
      <w:r>
        <w:rPr>
          <w:rFonts w:hint="eastAsia" w:ascii="仿宋" w:hAnsi="仿宋" w:eastAsia="仿宋" w:cs="仿宋"/>
          <w:color w:val="000000"/>
          <w:sz w:val="32"/>
          <w:szCs w:val="32"/>
        </w:rPr>
        <w:t>审计过程中，天健会所根据公司的服务需求以及被审计单位的实际情况，制定全面、合理、可操作性强的审计工作方案。审计工作围绕被审计单位的审计重点展开。同时天健会所制定了详细的审计计划与时间安排，包括预审工作、盘点、年报审计工作等，与公司独立董事、审计委员会委员沟通确认后，根据计划安排按时推进审计并提交工作成果，充分满足了公司报告披露时间要求。</w:t>
      </w:r>
    </w:p>
    <w:p>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五、人力及其他资源配备</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天健会所配备了专属审计工作团队，核心团队成员均具备多年上市公司、制造行业审计经验，并拥有中国注册会计师等专业资质。项目负责人由资深审计服务合伙人担任。专业配置合理，人数、执业水平和经验等满足项目要求。</w:t>
      </w:r>
    </w:p>
    <w:p>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六、信息安全管理</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天健会所在业务开始前，与客户就业务约定条款达成一致意见，签订业务约定书，以避免双方对业务的理解产生分歧。天健会所制定了涵盖档案管理、保密制度、突发事件处理等系统性的信息安全控制制度，在制定审计方案和实施审计工作的过程中，也考虑了对敏感信息、保密信息的检查、处理、脱敏和归档管理，并能够有效执行。 </w:t>
      </w:r>
    </w:p>
    <w:p>
      <w:pPr>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七、风险承担能力水平</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天健会所具有良好的投资者保护能力。截至202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年末，已按照有关法律法规要求投保职业保险，已计提的职业风险基金和已购买的职业保险累计赔偿限额之和超过人民币</w:t>
      </w:r>
      <w:r>
        <w:rPr>
          <w:rFonts w:ascii="仿宋" w:hAnsi="仿宋" w:eastAsia="仿宋" w:cs="仿宋"/>
          <w:color w:val="0000FF"/>
          <w:sz w:val="32"/>
          <w:szCs w:val="32"/>
        </w:rPr>
        <w:t>2</w:t>
      </w:r>
      <w:r>
        <w:rPr>
          <w:rFonts w:hint="eastAsia" w:ascii="仿宋" w:hAnsi="仿宋" w:eastAsia="仿宋" w:cs="仿宋"/>
          <w:color w:val="000000"/>
          <w:sz w:val="32"/>
          <w:szCs w:val="32"/>
        </w:rPr>
        <w:t>亿元，相关职业保险能够覆盖因审计失败导致的民事赔偿责任。职业风险基金计提及职业保险购买符合财政部关于《会计师事务所职业风险基金管理办法》等文件的相关规定。</w:t>
      </w:r>
    </w:p>
    <w:p>
      <w:pPr>
        <w:ind w:firstLine="960" w:firstLineChars="300"/>
        <w:jc w:val="left"/>
        <w:rPr>
          <w:rFonts w:ascii="仿宋" w:hAnsi="仿宋" w:eastAsia="仿宋" w:cs="仿宋"/>
          <w:color w:val="000000"/>
          <w:sz w:val="32"/>
          <w:szCs w:val="32"/>
        </w:rPr>
      </w:pPr>
    </w:p>
    <w:p>
      <w:pPr>
        <w:ind w:firstLine="960" w:firstLineChars="3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重庆望变电气（集团）股份有限公司</w:t>
      </w:r>
    </w:p>
    <w:p>
      <w:pPr>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董事会</w:t>
      </w:r>
    </w:p>
    <w:p>
      <w:pPr>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年4月2日</w:t>
      </w:r>
    </w:p>
    <w:p>
      <w:pPr>
        <w:ind w:firstLine="640" w:firstLineChars="200"/>
        <w:jc w:val="right"/>
        <w:rPr>
          <w:rFonts w:ascii="仿宋" w:hAnsi="仿宋" w:eastAsia="仿宋" w:cs="仿宋"/>
          <w:color w:val="000000"/>
          <w:sz w:val="32"/>
          <w:szCs w:val="32"/>
        </w:rPr>
      </w:pP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both"/>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rPr>
      <w:drawing>
        <wp:inline distT="0" distB="0" distL="114300" distR="114300">
          <wp:extent cx="285750" cy="285750"/>
          <wp:effectExtent l="0" t="0" r="3810" b="3810"/>
          <wp:docPr id="2"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方正仿宋_GBK" w:hAnsi="方正仿宋_GBK" w:eastAsia="方正仿宋_GBK" w:cs="方正仿宋_GBK"/>
      </w:rPr>
      <w:t xml:space="preserve">                                                       </w:t>
    </w:r>
    <w:r>
      <w:rPr>
        <w:rFonts w:ascii="方正仿宋_GBK" w:hAnsi="方正仿宋_GBK" w:eastAsia="方正仿宋_GBK" w:cs="方正仿宋_GBK"/>
      </w:rPr>
      <w:t xml:space="preserve">      </w:t>
    </w:r>
    <w:r>
      <w:rPr>
        <w:rFonts w:hint="eastAsia" w:ascii="方正仿宋_GBK" w:hAnsi="方正仿宋_GBK" w:eastAsia="方正仿宋_GBK" w:cs="方正仿宋_GBK"/>
      </w:rPr>
      <w:t xml:space="preserve">   </w:t>
    </w:r>
    <w:r>
      <w:rPr>
        <w:rFonts w:hint="eastAsia" w:ascii="仿宋" w:hAnsi="仿宋" w:eastAsia="仿宋" w:cs="仿宋"/>
      </w:rPr>
      <w:t>第四届董事会第十</w:t>
    </w:r>
    <w:r>
      <w:rPr>
        <w:rFonts w:hint="eastAsia" w:ascii="仿宋" w:hAnsi="仿宋" w:eastAsia="仿宋" w:cs="仿宋"/>
        <w:lang w:val="en-US" w:eastAsia="zh-CN"/>
      </w:rPr>
      <w:t>八</w:t>
    </w:r>
    <w:r>
      <w:rPr>
        <w:rFonts w:hint="eastAsia" w:ascii="仿宋" w:hAnsi="仿宋" w:eastAsia="仿宋" w:cs="仿宋"/>
      </w:rPr>
      <w:t>次会议资料</w:t>
    </w:r>
    <w:r>
      <w:rPr>
        <w:rFonts w:hint="eastAsia" w:ascii="方正仿宋_GBK" w:hAnsi="方正仿宋_GBK" w:eastAsia="方正仿宋_GBK" w:cs="方正仿宋_GBK"/>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0172A27"/>
    <w:rsid w:val="00035A82"/>
    <w:rsid w:val="0004248A"/>
    <w:rsid w:val="00064BC1"/>
    <w:rsid w:val="00084588"/>
    <w:rsid w:val="000A771F"/>
    <w:rsid w:val="000C307F"/>
    <w:rsid w:val="00113C96"/>
    <w:rsid w:val="00133FA6"/>
    <w:rsid w:val="00150DF9"/>
    <w:rsid w:val="00172A27"/>
    <w:rsid w:val="00194AAD"/>
    <w:rsid w:val="00194F48"/>
    <w:rsid w:val="001C5A2C"/>
    <w:rsid w:val="0022339B"/>
    <w:rsid w:val="002332CB"/>
    <w:rsid w:val="00294004"/>
    <w:rsid w:val="002E2B10"/>
    <w:rsid w:val="0038254A"/>
    <w:rsid w:val="003B3724"/>
    <w:rsid w:val="003E3249"/>
    <w:rsid w:val="00413400"/>
    <w:rsid w:val="00432C59"/>
    <w:rsid w:val="0043318A"/>
    <w:rsid w:val="004479B3"/>
    <w:rsid w:val="00457AE6"/>
    <w:rsid w:val="00492707"/>
    <w:rsid w:val="004E7CB0"/>
    <w:rsid w:val="004F39F5"/>
    <w:rsid w:val="0050262F"/>
    <w:rsid w:val="00502931"/>
    <w:rsid w:val="00511EEB"/>
    <w:rsid w:val="00526B9E"/>
    <w:rsid w:val="00537692"/>
    <w:rsid w:val="00540774"/>
    <w:rsid w:val="00562E78"/>
    <w:rsid w:val="00587B09"/>
    <w:rsid w:val="00593E66"/>
    <w:rsid w:val="005944D1"/>
    <w:rsid w:val="005E31B0"/>
    <w:rsid w:val="005F6888"/>
    <w:rsid w:val="00613F41"/>
    <w:rsid w:val="00647553"/>
    <w:rsid w:val="00667F5C"/>
    <w:rsid w:val="006C1775"/>
    <w:rsid w:val="006D50D1"/>
    <w:rsid w:val="007029FB"/>
    <w:rsid w:val="00707624"/>
    <w:rsid w:val="0076412B"/>
    <w:rsid w:val="00767171"/>
    <w:rsid w:val="007A3BCD"/>
    <w:rsid w:val="007B723F"/>
    <w:rsid w:val="007C0099"/>
    <w:rsid w:val="007C3930"/>
    <w:rsid w:val="008027DA"/>
    <w:rsid w:val="008051A0"/>
    <w:rsid w:val="00842A2E"/>
    <w:rsid w:val="00843C5F"/>
    <w:rsid w:val="00874E6F"/>
    <w:rsid w:val="00885B75"/>
    <w:rsid w:val="009154A0"/>
    <w:rsid w:val="009278BC"/>
    <w:rsid w:val="0097432A"/>
    <w:rsid w:val="00994623"/>
    <w:rsid w:val="009C1A76"/>
    <w:rsid w:val="00A26A06"/>
    <w:rsid w:val="00A66693"/>
    <w:rsid w:val="00A82133"/>
    <w:rsid w:val="00AC6055"/>
    <w:rsid w:val="00AC63B3"/>
    <w:rsid w:val="00AF3BA5"/>
    <w:rsid w:val="00BB2970"/>
    <w:rsid w:val="00BD3776"/>
    <w:rsid w:val="00C03671"/>
    <w:rsid w:val="00C32CB5"/>
    <w:rsid w:val="00C44FDD"/>
    <w:rsid w:val="00CE6751"/>
    <w:rsid w:val="00CF4F2E"/>
    <w:rsid w:val="00D759D4"/>
    <w:rsid w:val="00D91FAB"/>
    <w:rsid w:val="00DD2274"/>
    <w:rsid w:val="00E15B2C"/>
    <w:rsid w:val="00E5602B"/>
    <w:rsid w:val="00EB4ECB"/>
    <w:rsid w:val="00EC30DB"/>
    <w:rsid w:val="00EF0499"/>
    <w:rsid w:val="00F526BA"/>
    <w:rsid w:val="00F52EB6"/>
    <w:rsid w:val="00F57162"/>
    <w:rsid w:val="00F62BA2"/>
    <w:rsid w:val="00F94029"/>
    <w:rsid w:val="01DE1773"/>
    <w:rsid w:val="02FD131E"/>
    <w:rsid w:val="0569768E"/>
    <w:rsid w:val="056E11EE"/>
    <w:rsid w:val="0D4424C2"/>
    <w:rsid w:val="0EE54274"/>
    <w:rsid w:val="12CC06D1"/>
    <w:rsid w:val="160F5D4C"/>
    <w:rsid w:val="16215988"/>
    <w:rsid w:val="1767676A"/>
    <w:rsid w:val="17FB6C84"/>
    <w:rsid w:val="18C91A0D"/>
    <w:rsid w:val="1A8D2927"/>
    <w:rsid w:val="1ADD50F0"/>
    <w:rsid w:val="1AE860CB"/>
    <w:rsid w:val="1F2974D5"/>
    <w:rsid w:val="20196922"/>
    <w:rsid w:val="20CC02F9"/>
    <w:rsid w:val="213964F0"/>
    <w:rsid w:val="23A4739D"/>
    <w:rsid w:val="247A08AF"/>
    <w:rsid w:val="276D3412"/>
    <w:rsid w:val="28E92912"/>
    <w:rsid w:val="29F8444B"/>
    <w:rsid w:val="2D2061F1"/>
    <w:rsid w:val="2D347E8C"/>
    <w:rsid w:val="31121E7B"/>
    <w:rsid w:val="345D4CD9"/>
    <w:rsid w:val="34DD208B"/>
    <w:rsid w:val="350F368E"/>
    <w:rsid w:val="35643762"/>
    <w:rsid w:val="35CE14CA"/>
    <w:rsid w:val="37B80907"/>
    <w:rsid w:val="38762153"/>
    <w:rsid w:val="3AD6152B"/>
    <w:rsid w:val="3B650E1E"/>
    <w:rsid w:val="40E37C31"/>
    <w:rsid w:val="410F6076"/>
    <w:rsid w:val="44F17878"/>
    <w:rsid w:val="4514559D"/>
    <w:rsid w:val="460D33DD"/>
    <w:rsid w:val="46483B71"/>
    <w:rsid w:val="47C118C5"/>
    <w:rsid w:val="4AA14BF0"/>
    <w:rsid w:val="4B712B0C"/>
    <w:rsid w:val="516D1C24"/>
    <w:rsid w:val="529F1549"/>
    <w:rsid w:val="580544D9"/>
    <w:rsid w:val="5A0539D4"/>
    <w:rsid w:val="5E886ABC"/>
    <w:rsid w:val="6036205A"/>
    <w:rsid w:val="61D60C85"/>
    <w:rsid w:val="621506E0"/>
    <w:rsid w:val="62456545"/>
    <w:rsid w:val="647D1359"/>
    <w:rsid w:val="6481138B"/>
    <w:rsid w:val="64ED007C"/>
    <w:rsid w:val="67567318"/>
    <w:rsid w:val="676F6005"/>
    <w:rsid w:val="6AAA5BF2"/>
    <w:rsid w:val="6B8533DE"/>
    <w:rsid w:val="6C782B79"/>
    <w:rsid w:val="6D2302F0"/>
    <w:rsid w:val="6F103FEE"/>
    <w:rsid w:val="7149564C"/>
    <w:rsid w:val="72E72EE7"/>
    <w:rsid w:val="75F13C48"/>
    <w:rsid w:val="76267AB7"/>
    <w:rsid w:val="78D93FDA"/>
    <w:rsid w:val="78F2500A"/>
    <w:rsid w:val="796121B5"/>
    <w:rsid w:val="7A4A1225"/>
    <w:rsid w:val="7A540090"/>
    <w:rsid w:val="7A5F6BF3"/>
    <w:rsid w:val="7B676FF8"/>
    <w:rsid w:val="7D423956"/>
    <w:rsid w:val="7F53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9"/>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4">
    <w:name w:val="annotation text"/>
    <w:basedOn w:val="1"/>
    <w:link w:val="17"/>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after="100"/>
      <w:jc w:val="left"/>
    </w:pPr>
    <w:rPr>
      <w:rFonts w:ascii="宋体" w:hAnsi="宋体" w:cs="宋体"/>
      <w:kern w:val="0"/>
      <w:sz w:val="24"/>
      <w:szCs w:val="20"/>
    </w:rPr>
  </w:style>
  <w:style w:type="paragraph" w:styleId="9">
    <w:name w:val="annotation subject"/>
    <w:basedOn w:val="4"/>
    <w:next w:val="4"/>
    <w:link w:val="18"/>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rFonts w:ascii="Times New Roman" w:hAnsi="Times New Roman" w:eastAsia="宋体" w:cs="Times New Roman"/>
      <w:sz w:val="18"/>
      <w:szCs w:val="18"/>
    </w:rPr>
  </w:style>
  <w:style w:type="character" w:customStyle="1" w:styleId="14">
    <w:name w:val="页脚 字符"/>
    <w:basedOn w:val="11"/>
    <w:link w:val="6"/>
    <w:qFormat/>
    <w:uiPriority w:val="99"/>
    <w:rPr>
      <w:rFonts w:ascii="Times New Roman" w:hAnsi="Times New Roman" w:eastAsia="宋体" w:cs="Times New Roman"/>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11"/>
    <w:link w:val="4"/>
    <w:semiHidden/>
    <w:qFormat/>
    <w:uiPriority w:val="99"/>
    <w:rPr>
      <w:rFonts w:ascii="Times New Roman" w:hAnsi="Times New Roman" w:eastAsia="宋体" w:cs="Times New Roman"/>
      <w:kern w:val="2"/>
      <w:sz w:val="21"/>
      <w:szCs w:val="24"/>
    </w:rPr>
  </w:style>
  <w:style w:type="character" w:customStyle="1" w:styleId="18">
    <w:name w:val="批注主题 字符"/>
    <w:basedOn w:val="17"/>
    <w:link w:val="9"/>
    <w:semiHidden/>
    <w:qFormat/>
    <w:uiPriority w:val="99"/>
    <w:rPr>
      <w:rFonts w:ascii="Times New Roman" w:hAnsi="Times New Roman" w:eastAsia="宋体" w:cs="Times New Roman"/>
      <w:b/>
      <w:bCs/>
      <w:kern w:val="2"/>
      <w:sz w:val="21"/>
      <w:szCs w:val="24"/>
    </w:rPr>
  </w:style>
  <w:style w:type="character" w:customStyle="1" w:styleId="19">
    <w:name w:val="标题 2 字符"/>
    <w:basedOn w:val="11"/>
    <w:link w:val="3"/>
    <w:qFormat/>
    <w:uiPriority w:val="9"/>
    <w:rPr>
      <w:rFonts w:ascii="宋体" w:hAnsi="宋体" w:eastAsia="宋体" w:cs="宋体"/>
      <w:b/>
      <w:bCs/>
      <w:sz w:val="36"/>
      <w:szCs w:val="36"/>
    </w:rPr>
  </w:style>
  <w:style w:type="paragraph" w:customStyle="1" w:styleId="20">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9336f591-80b7-40b8-abfb-ec3499add680</errorID>
      <errorWord>法律、法规</errorWord>
      <group>L1_Word</group>
      <groupName>字词问题</groupName>
      <ability>L2_Typo</ability>
      <abilityName>字词错误</abilityName>
      <candidateList>
        <item>法律法规</item>
      </candidateList>
      <explain/>
      <paraID>38B66831</paraID>
      <start>83</start>
      <end>88</end>
      <status>unmodified</status>
      <modifiedWord/>
      <trackRevisions>false</trackRevisions>
    </reviewItem>
    <reviewItem>
      <errorID>7f02e85d-528b-443a-9ac7-0f4a401df2c1</errorID>
      <errorWord>业</errorWord>
      <group>L1_Word</group>
      <groupName>字词问题</groupName>
      <ability>L2_Typo</ability>
      <abilityName>字词错误</abilityName>
      <candidateList>
        <item>业等</item>
      </candidateList>
      <explain/>
      <paraID>31D8E7A3</paraID>
      <start>128</start>
      <end>129</end>
      <status>unmodified</status>
      <modifiedWord/>
      <trackRevisions>false</trackRevisions>
    </reviewItem>
    <reviewItem>
      <errorID>514ef536-9eca-46e2-a2e1-a9e1936698cb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20181545</paraID>
      <start>0</start>
      <end>2</end>
      <status>unmodified</status>
      <modifiedWord/>
      <trackRevisions>false</trackRevisions>
    </reviewItem>
    <reviewItem>
      <errorID>d5e138df-fe24-4aaf-b768-dbfaee134e96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4E6AE52D</paraID>
      <start>0</start>
      <end>2</end>
      <status>unmodified</status>
      <modifiedWord/>
      <trackRevisions>false</trackRevisions>
    </reviewItem>
    <reviewItem>
      <errorID>3d6cfc19-b364-4006-a90f-39fd9d08120f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6F91C6AA</paraID>
      <start>0</start>
      <end>2</end>
      <status>unmodified</status>
      <modifiedWord/>
      <trackRevisions>false</trackRevisions>
    </reviewItem>
    <reviewItem>
      <errorID>fd9302de-7f2a-4d84-a1d9-33f8f492141f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32D77C3B</paraID>
      <start>0</start>
      <end>2</end>
      <status>unmodified</status>
      <modifiedWord/>
      <trackRevisions>false</trackRevisions>
    </reviewItem>
    <reviewItem>
      <errorID>e7ee1cb5-1574-4996-ab71-50d4b07ac6dd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45CEA89E</paraID>
      <start>0</start>
      <end>2</end>
      <status>unmodified</status>
      <modifiedWord/>
      <trackRevisions>false</trackRevisions>
    </reviewItem>
    <reviewItem>
      <errorID>800bf308-f783-4e98-aff6-13ac9e9f4578</errorID>
      <errorWord>设</errorWord>
      <group>L1_Word</group>
      <groupName>字词问题</groupName>
      <ability>L2_Typo</ability>
      <abilityName>字词错误</abilityName>
      <candidateList>
        <item>设和</item>
      </candidateList>
      <explain/>
      <paraID>15046B79</paraID>
      <start>206</start>
      <end>207</end>
      <status>unmodified</status>
      <modifiedWord/>
      <trackRevisions>false</trackRevisions>
    </reviewItem>
    <reviewItem>
      <errorID>459e1434-f48e-4604-8661-f7641364b5ca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4742EDB7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098764d8-4213-458b-b1a3-23b232a9af6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2272</Words>
  <Characters>2384</Characters>
  <Lines>17</Lines>
  <Paragraphs>4</Paragraphs>
  <TotalTime>2</TotalTime>
  <ScaleCrop>false</ScaleCrop>
  <LinksUpToDate>false</LinksUpToDate>
  <CharactersWithSpaces>2434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2016-03-09T01:35:00Z</dcterms:created>
  <dc:creator>Administrator</dc:creator>
  <cp:lastModifiedBy>BJB-ZB-009</cp:lastModifiedBy>
  <dcterms:modified xsi:type="dcterms:W3CDTF">2026-03-30T09:31:09Z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877D6DEC90F24002BEAD8148FC9C2BCC</vt:lpwstr>
  </property>
  <property fmtid="{D5CDD505-2E9C-101B-9397-08002B2CF9AE}" pid="4" name="KSOTemplateDocerSaveRecord">
    <vt:lpwstr>eyJoZGlkIjoiZTQzZmRmZDMxMjkwMDE2NTk0ZWQ1ZWYwMzRmYjVhNmUiLCJ1c2VySWQiOiI2NDQwNzQxNTQifQ==</vt:lpwstr>
  </property>
</Properties>
</file>