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sz w:val="24"/>
          <w:szCs w:val="24"/>
          <w:lang w:val="en-US" w:eastAsia="zh-CN"/>
        </w:rPr>
      </w:pPr>
      <w:r>
        <w:rPr>
          <w:rFonts w:hint="eastAsia" w:ascii="宋体" w:hAnsi="宋体" w:eastAsia="宋体" w:cs="宋体"/>
          <w:b/>
          <w:sz w:val="24"/>
          <w:szCs w:val="24"/>
        </w:rPr>
        <w:t>证券代码：603191        证券简称：望变电气         公告编号：202</w:t>
      </w:r>
      <w:r>
        <w:rPr>
          <w:rFonts w:hint="eastAsia" w:ascii="宋体" w:hAnsi="宋体" w:eastAsia="宋体" w:cs="宋体"/>
          <w:b/>
          <w:sz w:val="24"/>
          <w:szCs w:val="24"/>
          <w:lang w:val="en-US" w:eastAsia="zh-CN"/>
        </w:rPr>
        <w:t>6-025</w:t>
      </w:r>
    </w:p>
    <w:p>
      <w:pPr>
        <w:adjustRightInd w:val="0"/>
        <w:snapToGrid w:val="0"/>
        <w:spacing w:line="560" w:lineRule="exact"/>
        <w:jc w:val="center"/>
        <w:rPr>
          <w:rFonts w:eastAsia="仿宋_GB2312"/>
          <w:color w:val="000000"/>
          <w:sz w:val="30"/>
          <w:szCs w:val="30"/>
        </w:rPr>
      </w:pPr>
    </w:p>
    <w:p>
      <w:pPr>
        <w:adjustRightInd w:val="0"/>
        <w:snapToGrid w:val="0"/>
        <w:spacing w:before="156" w:beforeLines="50" w:line="560" w:lineRule="exact"/>
        <w:jc w:val="center"/>
        <w:rPr>
          <w:rFonts w:hint="eastAsia" w:cs="仿宋_GB2312" w:asciiTheme="minorEastAsia" w:hAnsiTheme="minorEastAsia"/>
          <w:b/>
          <w:bCs/>
          <w:color w:val="FF0000"/>
          <w:sz w:val="36"/>
          <w:szCs w:val="36"/>
        </w:rPr>
      </w:pPr>
      <w:r>
        <w:rPr>
          <w:rFonts w:hint="eastAsia" w:cs="仿宋_GB2312" w:asciiTheme="minorEastAsia" w:hAnsiTheme="minorEastAsia"/>
          <w:b/>
          <w:bCs/>
          <w:color w:val="FF0000"/>
          <w:sz w:val="36"/>
          <w:szCs w:val="36"/>
        </w:rPr>
        <w:t>重庆望变电气（集团）股份有限公司</w:t>
      </w:r>
    </w:p>
    <w:p>
      <w:pPr>
        <w:adjustRightInd w:val="0"/>
        <w:snapToGrid w:val="0"/>
        <w:spacing w:before="156" w:beforeLines="50" w:line="560" w:lineRule="exact"/>
        <w:jc w:val="center"/>
        <w:rPr>
          <w:rFonts w:eastAsia="仿宋_GB2312"/>
          <w:color w:val="000000"/>
          <w:sz w:val="30"/>
          <w:szCs w:val="30"/>
        </w:rPr>
      </w:pPr>
      <w:r>
        <w:rPr>
          <w:rFonts w:hint="eastAsia" w:cs="仿宋_GB2312" w:asciiTheme="minorEastAsia" w:hAnsiTheme="minorEastAsia"/>
          <w:b/>
          <w:bCs/>
          <w:color w:val="FF0000"/>
          <w:sz w:val="36"/>
          <w:szCs w:val="36"/>
        </w:rPr>
        <w:t>关于续聘会计师事务所的公告</w:t>
      </w:r>
    </w:p>
    <w:p>
      <w:pPr>
        <w:pBdr>
          <w:top w:val="single" w:color="auto" w:sz="4" w:space="1"/>
          <w:left w:val="single" w:color="auto" w:sz="4" w:space="4"/>
          <w:bottom w:val="single" w:color="auto" w:sz="4" w:space="2"/>
          <w:right w:val="single" w:color="auto" w:sz="4" w:space="4"/>
        </w:pBdr>
        <w:adjustRightInd w:val="0"/>
        <w:spacing w:line="560" w:lineRule="exact"/>
        <w:rPr>
          <w:rFonts w:eastAsia="仿宋_GB2312"/>
          <w:color w:val="000000"/>
          <w:sz w:val="30"/>
          <w:szCs w:val="30"/>
        </w:rPr>
      </w:pPr>
      <w:r>
        <w:rPr>
          <w:rFonts w:eastAsia="仿宋_GB2312"/>
          <w:color w:val="000000"/>
          <w:sz w:val="30"/>
          <w:szCs w:val="30"/>
        </w:rPr>
        <w:t xml:space="preserve">    </w:t>
      </w:r>
      <w:r>
        <w:rPr>
          <w:rFonts w:hint="eastAsia" w:ascii="仿宋" w:hAnsi="仿宋" w:eastAsia="仿宋" w:cs="仿宋"/>
          <w:color w:val="000000"/>
          <w:sz w:val="24"/>
          <w:szCs w:val="24"/>
        </w:rPr>
        <w:t>本公司董事会及全体董事保证本公告内容不存在任何虚假记载、误导性陈述或者重大遗漏，并对其内容的真实性、准确性和完整性承担法律责任。</w:t>
      </w:r>
    </w:p>
    <w:p>
      <w:pPr>
        <w:adjustRightInd w:val="0"/>
        <w:snapToGrid w:val="0"/>
        <w:spacing w:line="560" w:lineRule="exact"/>
        <w:rPr>
          <w:rFonts w:eastAsia="仿宋_GB2312"/>
          <w:sz w:val="30"/>
          <w:szCs w:val="30"/>
        </w:rPr>
      </w:pPr>
    </w:p>
    <w:p>
      <w:pPr>
        <w:adjustRightInd w:val="0"/>
        <w:snapToGrid w:val="0"/>
        <w:spacing w:line="560" w:lineRule="exact"/>
        <w:ind w:firstLine="602" w:firstLineChars="200"/>
        <w:rPr>
          <w:rFonts w:eastAsia="仿宋_GB2312"/>
          <w:b/>
          <w:sz w:val="30"/>
          <w:szCs w:val="30"/>
        </w:rPr>
      </w:pPr>
      <w:r>
        <w:rPr>
          <w:rFonts w:eastAsia="仿宋_GB2312"/>
          <w:b/>
          <w:sz w:val="30"/>
          <w:szCs w:val="30"/>
        </w:rPr>
        <w:t>重要内容提示：</w:t>
      </w:r>
    </w:p>
    <w:p>
      <w:pPr>
        <w:numPr>
          <w:ilvl w:val="0"/>
          <w:numId w:val="1"/>
        </w:num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拟聘任的会计师事务所名称：天健会计师事务所（特殊普通合伙）（以</w:t>
      </w:r>
    </w:p>
    <w:p>
      <w:pPr>
        <w:adjustRightInd w:val="0"/>
        <w:snapToGrid w:val="0"/>
        <w:spacing w:line="560" w:lineRule="exact"/>
        <w:rPr>
          <w:rFonts w:ascii="宋体" w:hAnsi="宋体" w:eastAsia="宋体" w:cs="宋体"/>
          <w:sz w:val="24"/>
          <w:szCs w:val="24"/>
        </w:rPr>
      </w:pPr>
      <w:r>
        <w:rPr>
          <w:rFonts w:hint="eastAsia" w:ascii="宋体" w:hAnsi="宋体" w:eastAsia="宋体" w:cs="宋体"/>
          <w:sz w:val="24"/>
          <w:szCs w:val="24"/>
        </w:rPr>
        <w:t>下简称“天健会所”</w:t>
      </w:r>
      <w:r>
        <w:rPr>
          <w:rFonts w:hint="eastAsia" w:ascii="宋体" w:hAnsi="宋体" w:cs="宋体"/>
          <w:sz w:val="24"/>
          <w:szCs w:val="24"/>
          <w:lang w:val="en-US" w:eastAsia="zh-CN"/>
        </w:rPr>
        <w:t>或“天健”</w:t>
      </w:r>
      <w:r>
        <w:rPr>
          <w:rFonts w:hint="eastAsia" w:ascii="宋体" w:hAnsi="宋体" w:eastAsia="宋体" w:cs="宋体"/>
          <w:sz w:val="24"/>
          <w:szCs w:val="24"/>
        </w:rPr>
        <w:t>）</w:t>
      </w:r>
    </w:p>
    <w:p>
      <w:pPr>
        <w:adjustRightInd w:val="0"/>
        <w:snapToGrid w:val="0"/>
        <w:spacing w:line="560" w:lineRule="exact"/>
        <w:rPr>
          <w:rFonts w:hint="eastAsia" w:ascii="宋体" w:hAnsi="宋体" w:eastAsia="宋体" w:cs="宋体"/>
          <w:sz w:val="24"/>
          <w:szCs w:val="24"/>
        </w:rPr>
      </w:pPr>
    </w:p>
    <w:p>
      <w:pPr>
        <w:adjustRightInd w:val="0"/>
        <w:snapToGrid w:val="0"/>
        <w:spacing w:line="560" w:lineRule="exact"/>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一、拟聘任会计师事务所的基本情况</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（一）机构信息</w:t>
      </w:r>
    </w:p>
    <w:p>
      <w:pPr>
        <w:widowControl w:val="0"/>
        <w:numPr>
          <w:ilvl w:val="0"/>
          <w:numId w:val="2"/>
        </w:numPr>
        <w:autoSpaceDE w:val="0"/>
        <w:autoSpaceDN w:val="0"/>
        <w:adjustRightInd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基本信息</w:t>
      </w:r>
    </w:p>
    <w:tbl>
      <w:tblPr>
        <w:tblStyle w:val="9"/>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2198"/>
        <w:gridCol w:w="28"/>
        <w:gridCol w:w="618"/>
        <w:gridCol w:w="1915"/>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Align w:val="center"/>
          </w:tcPr>
          <w:p>
            <w:pPr>
              <w:ind w:left="465" w:hanging="360"/>
              <w:rPr>
                <w:rFonts w:hint="eastAsia" w:ascii="宋体" w:hAnsi="宋体" w:eastAsia="宋体" w:cs="宋体"/>
                <w:sz w:val="18"/>
                <w:szCs w:val="18"/>
              </w:rPr>
            </w:pPr>
            <w:r>
              <w:rPr>
                <w:rFonts w:hint="eastAsia" w:ascii="宋体" w:hAnsi="宋体" w:eastAsia="宋体" w:cs="宋体"/>
                <w:sz w:val="18"/>
                <w:szCs w:val="18"/>
              </w:rPr>
              <w:t>事务所名称</w:t>
            </w:r>
          </w:p>
        </w:tc>
        <w:tc>
          <w:tcPr>
            <w:tcW w:w="6671" w:type="dxa"/>
            <w:gridSpan w:val="5"/>
            <w:vAlign w:val="center"/>
          </w:tcPr>
          <w:p>
            <w:pPr>
              <w:ind w:left="465" w:hanging="360"/>
              <w:rPr>
                <w:rFonts w:hint="eastAsia" w:ascii="宋体" w:hAnsi="宋体" w:eastAsia="宋体" w:cs="宋体"/>
                <w:sz w:val="18"/>
                <w:szCs w:val="18"/>
              </w:rPr>
            </w:pPr>
            <w:r>
              <w:rPr>
                <w:rFonts w:hint="eastAsia" w:ascii="宋体" w:hAnsi="宋体" w:eastAsia="宋体" w:cs="宋体"/>
                <w:sz w:val="18"/>
                <w:szCs w:val="18"/>
              </w:rPr>
              <w:t>天健会计师事务所（特殊普通合伙）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Align w:val="center"/>
          </w:tcPr>
          <w:p>
            <w:pPr>
              <w:ind w:left="465" w:hanging="360"/>
              <w:rPr>
                <w:rFonts w:hint="eastAsia" w:ascii="宋体" w:hAnsi="宋体" w:eastAsia="宋体" w:cs="宋体"/>
                <w:sz w:val="18"/>
                <w:szCs w:val="18"/>
              </w:rPr>
            </w:pPr>
            <w:r>
              <w:rPr>
                <w:rFonts w:hint="eastAsia" w:ascii="宋体" w:hAnsi="宋体" w:eastAsia="宋体" w:cs="宋体"/>
                <w:sz w:val="18"/>
                <w:szCs w:val="18"/>
              </w:rPr>
              <w:t>成立日期</w:t>
            </w:r>
          </w:p>
        </w:tc>
        <w:tc>
          <w:tcPr>
            <w:tcW w:w="2844" w:type="dxa"/>
            <w:gridSpan w:val="3"/>
            <w:vAlign w:val="center"/>
          </w:tcPr>
          <w:p>
            <w:pPr>
              <w:ind w:left="465" w:hanging="360"/>
              <w:rPr>
                <w:rFonts w:hint="eastAsia" w:ascii="宋体" w:hAnsi="宋体" w:eastAsia="宋体" w:cs="宋体"/>
                <w:sz w:val="18"/>
                <w:szCs w:val="18"/>
              </w:rPr>
            </w:pPr>
            <w:r>
              <w:rPr>
                <w:rFonts w:hint="eastAsia" w:ascii="宋体" w:hAnsi="宋体" w:eastAsia="宋体" w:cs="宋体"/>
                <w:sz w:val="18"/>
                <w:szCs w:val="18"/>
              </w:rPr>
              <w:t>2011年7月18日</w:t>
            </w:r>
          </w:p>
        </w:tc>
        <w:tc>
          <w:tcPr>
            <w:tcW w:w="1915" w:type="dxa"/>
            <w:vAlign w:val="center"/>
          </w:tcPr>
          <w:p>
            <w:pPr>
              <w:ind w:left="465" w:hanging="360"/>
              <w:rPr>
                <w:rFonts w:hint="eastAsia" w:ascii="宋体" w:hAnsi="宋体" w:eastAsia="宋体" w:cs="宋体"/>
                <w:color w:val="000000"/>
                <w:sz w:val="18"/>
                <w:szCs w:val="18"/>
              </w:rPr>
            </w:pPr>
            <w:r>
              <w:rPr>
                <w:rFonts w:hint="eastAsia" w:ascii="宋体" w:hAnsi="宋体" w:eastAsia="宋体" w:cs="宋体"/>
                <w:color w:val="000000"/>
                <w:sz w:val="18"/>
                <w:szCs w:val="18"/>
              </w:rPr>
              <w:t>组织形式</w:t>
            </w:r>
          </w:p>
        </w:tc>
        <w:tc>
          <w:tcPr>
            <w:tcW w:w="1912" w:type="dxa"/>
            <w:vAlign w:val="center"/>
          </w:tcPr>
          <w:p>
            <w:pPr>
              <w:ind w:left="465" w:hanging="360"/>
              <w:rPr>
                <w:rFonts w:hint="eastAsia" w:ascii="宋体" w:hAnsi="宋体" w:eastAsia="宋体" w:cs="宋体"/>
                <w:color w:val="000000"/>
                <w:sz w:val="18"/>
                <w:szCs w:val="18"/>
              </w:rPr>
            </w:pPr>
            <w:r>
              <w:rPr>
                <w:rFonts w:hint="eastAsia" w:ascii="宋体" w:hAnsi="宋体" w:eastAsia="宋体" w:cs="宋体"/>
                <w:color w:val="000000"/>
                <w:sz w:val="18"/>
                <w:szCs w:val="18"/>
              </w:rPr>
              <w:t>特殊普通合伙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Align w:val="center"/>
          </w:tcPr>
          <w:p>
            <w:pPr>
              <w:ind w:left="465" w:hanging="360"/>
              <w:rPr>
                <w:rFonts w:hint="eastAsia" w:ascii="宋体" w:hAnsi="宋体" w:eastAsia="宋体" w:cs="宋体"/>
                <w:sz w:val="18"/>
                <w:szCs w:val="18"/>
              </w:rPr>
            </w:pPr>
            <w:r>
              <w:rPr>
                <w:rFonts w:hint="eastAsia" w:ascii="宋体" w:hAnsi="宋体" w:eastAsia="宋体" w:cs="宋体"/>
                <w:sz w:val="18"/>
                <w:szCs w:val="18"/>
              </w:rPr>
              <w:t>注册地址</w:t>
            </w:r>
          </w:p>
        </w:tc>
        <w:tc>
          <w:tcPr>
            <w:tcW w:w="6671" w:type="dxa"/>
            <w:gridSpan w:val="5"/>
            <w:vAlign w:val="center"/>
          </w:tcPr>
          <w:p>
            <w:pPr>
              <w:ind w:left="465" w:hanging="360"/>
              <w:rPr>
                <w:rFonts w:hint="eastAsia" w:ascii="宋体" w:hAnsi="宋体" w:eastAsia="宋体" w:cs="宋体"/>
                <w:sz w:val="18"/>
                <w:szCs w:val="18"/>
              </w:rPr>
            </w:pPr>
            <w:r>
              <w:rPr>
                <w:rFonts w:hint="eastAsia" w:ascii="宋体" w:hAnsi="宋体" w:eastAsia="宋体" w:cs="宋体"/>
                <w:sz w:val="18"/>
                <w:szCs w:val="18"/>
              </w:rPr>
              <w:t>浙江省杭州市西湖区灵隐街道西溪路128号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Align w:val="center"/>
          </w:tcPr>
          <w:p>
            <w:pPr>
              <w:ind w:left="53" w:leftChars="25" w:firstLine="9" w:firstLineChars="5"/>
              <w:rPr>
                <w:rFonts w:hint="eastAsia" w:ascii="宋体" w:hAnsi="宋体" w:eastAsia="宋体" w:cs="宋体"/>
                <w:sz w:val="18"/>
                <w:szCs w:val="18"/>
              </w:rPr>
            </w:pPr>
            <w:r>
              <w:rPr>
                <w:rFonts w:hint="eastAsia" w:ascii="宋体" w:hAnsi="宋体" w:eastAsia="宋体" w:cs="宋体"/>
                <w:sz w:val="18"/>
                <w:szCs w:val="18"/>
              </w:rPr>
              <w:t>首席合伙人</w:t>
            </w:r>
          </w:p>
        </w:tc>
        <w:tc>
          <w:tcPr>
            <w:tcW w:w="2226" w:type="dxa"/>
            <w:gridSpan w:val="2"/>
            <w:vAlign w:val="center"/>
          </w:tcPr>
          <w:p>
            <w:pPr>
              <w:ind w:left="53" w:leftChars="25" w:firstLine="9" w:firstLineChars="5"/>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钟建国</w:t>
            </w:r>
          </w:p>
        </w:tc>
        <w:tc>
          <w:tcPr>
            <w:tcW w:w="2533" w:type="dxa"/>
            <w:gridSpan w:val="2"/>
            <w:vAlign w:val="center"/>
          </w:tcPr>
          <w:p>
            <w:pPr>
              <w:ind w:left="465" w:hanging="360"/>
              <w:rPr>
                <w:rFonts w:hint="eastAsia" w:ascii="宋体" w:hAnsi="宋体" w:eastAsia="宋体" w:cs="宋体"/>
                <w:sz w:val="18"/>
                <w:szCs w:val="18"/>
              </w:rPr>
            </w:pPr>
            <w:r>
              <w:rPr>
                <w:rFonts w:hint="eastAsia" w:ascii="宋体" w:hAnsi="宋体" w:eastAsia="宋体" w:cs="宋体"/>
                <w:sz w:val="18"/>
                <w:szCs w:val="18"/>
              </w:rPr>
              <w:t>上年末合伙人数量</w:t>
            </w:r>
          </w:p>
        </w:tc>
        <w:tc>
          <w:tcPr>
            <w:tcW w:w="1912" w:type="dxa"/>
            <w:vAlign w:val="center"/>
          </w:tcPr>
          <w:p>
            <w:pPr>
              <w:ind w:left="465" w:hanging="360"/>
              <w:rPr>
                <w:rFonts w:hint="eastAsia" w:ascii="宋体" w:hAnsi="宋体" w:eastAsia="宋体" w:cs="宋体"/>
                <w:sz w:val="18"/>
                <w:szCs w:val="18"/>
              </w:rPr>
            </w:pPr>
            <w:r>
              <w:rPr>
                <w:rFonts w:hint="eastAsia" w:ascii="宋体" w:hAnsi="宋体" w:eastAsia="宋体" w:cs="宋体"/>
                <w:sz w:val="18"/>
                <w:szCs w:val="18"/>
                <w:lang w:val="en-US" w:eastAsia="zh-CN"/>
              </w:rPr>
              <w:t>250</w:t>
            </w:r>
            <w:r>
              <w:rPr>
                <w:rFonts w:hint="eastAsia" w:ascii="宋体" w:hAnsi="宋体" w:eastAsia="宋体" w:cs="宋体"/>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Merge w:val="restart"/>
            <w:vAlign w:val="center"/>
          </w:tcPr>
          <w:p>
            <w:pPr>
              <w:ind w:left="53" w:leftChars="25" w:firstLine="9" w:firstLineChars="5"/>
              <w:rPr>
                <w:rFonts w:hint="eastAsia" w:ascii="宋体" w:hAnsi="宋体" w:eastAsia="宋体" w:cs="宋体"/>
                <w:color w:val="000000"/>
                <w:sz w:val="18"/>
                <w:szCs w:val="18"/>
              </w:rPr>
            </w:pPr>
            <w:r>
              <w:rPr>
                <w:rFonts w:hint="eastAsia" w:ascii="宋体" w:hAnsi="宋体" w:eastAsia="宋体" w:cs="宋体"/>
                <w:color w:val="000000"/>
                <w:sz w:val="18"/>
                <w:szCs w:val="18"/>
              </w:rPr>
              <w:t>2025年末执业人员数量</w:t>
            </w:r>
          </w:p>
        </w:tc>
        <w:tc>
          <w:tcPr>
            <w:tcW w:w="4759" w:type="dxa"/>
            <w:gridSpan w:val="4"/>
            <w:vAlign w:val="center"/>
          </w:tcPr>
          <w:p>
            <w:pPr>
              <w:ind w:left="53" w:leftChars="25" w:firstLine="9" w:firstLineChars="5"/>
              <w:rPr>
                <w:rFonts w:hint="eastAsia" w:ascii="宋体" w:hAnsi="宋体" w:eastAsia="宋体" w:cs="宋体"/>
                <w:color w:val="000000"/>
                <w:sz w:val="18"/>
                <w:szCs w:val="18"/>
              </w:rPr>
            </w:pPr>
            <w:r>
              <w:rPr>
                <w:rFonts w:hint="eastAsia" w:ascii="宋体" w:hAnsi="宋体" w:eastAsia="宋体" w:cs="宋体"/>
                <w:color w:val="000000"/>
                <w:sz w:val="18"/>
                <w:szCs w:val="18"/>
              </w:rPr>
              <w:t>注册会计师</w:t>
            </w:r>
          </w:p>
        </w:tc>
        <w:tc>
          <w:tcPr>
            <w:tcW w:w="1912" w:type="dxa"/>
            <w:vAlign w:val="center"/>
          </w:tcPr>
          <w:p>
            <w:pPr>
              <w:ind w:left="465" w:hanging="360"/>
              <w:rPr>
                <w:rFonts w:hint="eastAsia" w:ascii="宋体" w:hAnsi="宋体" w:eastAsia="宋体" w:cs="宋体"/>
                <w:sz w:val="18"/>
                <w:szCs w:val="18"/>
              </w:rPr>
            </w:pPr>
            <w:r>
              <w:rPr>
                <w:rFonts w:hint="eastAsia" w:ascii="宋体" w:hAnsi="宋体" w:eastAsia="宋体" w:cs="宋体"/>
                <w:sz w:val="18"/>
                <w:szCs w:val="18"/>
                <w:lang w:val="en-US" w:eastAsia="zh-CN"/>
              </w:rPr>
              <w:t>2,363</w:t>
            </w:r>
            <w:r>
              <w:rPr>
                <w:rFonts w:hint="eastAsia" w:ascii="宋体" w:hAnsi="宋体" w:eastAsia="宋体" w:cs="宋体"/>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Merge w:val="continue"/>
            <w:vAlign w:val="center"/>
          </w:tcPr>
          <w:p>
            <w:pPr>
              <w:ind w:left="53" w:leftChars="25" w:firstLine="9" w:firstLineChars="5"/>
              <w:rPr>
                <w:rFonts w:hint="eastAsia" w:ascii="宋体" w:hAnsi="宋体" w:eastAsia="宋体" w:cs="宋体"/>
                <w:color w:val="000000"/>
                <w:sz w:val="18"/>
                <w:szCs w:val="18"/>
              </w:rPr>
            </w:pPr>
          </w:p>
        </w:tc>
        <w:tc>
          <w:tcPr>
            <w:tcW w:w="4759" w:type="dxa"/>
            <w:gridSpan w:val="4"/>
            <w:vAlign w:val="center"/>
          </w:tcPr>
          <w:p>
            <w:pPr>
              <w:ind w:right="-105" w:rightChars="-50" w:firstLine="9" w:firstLineChars="5"/>
              <w:rPr>
                <w:rFonts w:hint="eastAsia" w:ascii="宋体" w:hAnsi="宋体" w:eastAsia="宋体" w:cs="宋体"/>
                <w:color w:val="000000"/>
                <w:sz w:val="18"/>
                <w:szCs w:val="18"/>
              </w:rPr>
            </w:pPr>
            <w:r>
              <w:rPr>
                <w:rFonts w:hint="eastAsia" w:ascii="宋体" w:hAnsi="宋体" w:eastAsia="宋体" w:cs="宋体"/>
                <w:color w:val="000000"/>
                <w:sz w:val="18"/>
                <w:szCs w:val="18"/>
              </w:rPr>
              <w:t>签署过证券服务业务审计报告的注册会计师</w:t>
            </w:r>
          </w:p>
        </w:tc>
        <w:tc>
          <w:tcPr>
            <w:tcW w:w="1912" w:type="dxa"/>
            <w:vAlign w:val="center"/>
          </w:tcPr>
          <w:p>
            <w:pPr>
              <w:ind w:left="465" w:hanging="360"/>
              <w:rPr>
                <w:rFonts w:hint="eastAsia" w:ascii="宋体" w:hAnsi="宋体" w:eastAsia="宋体" w:cs="宋体"/>
                <w:sz w:val="18"/>
                <w:szCs w:val="18"/>
              </w:rPr>
            </w:pPr>
            <w:r>
              <w:rPr>
                <w:rFonts w:hint="eastAsia" w:ascii="宋体" w:hAnsi="宋体" w:eastAsia="宋体" w:cs="宋体"/>
                <w:sz w:val="18"/>
                <w:szCs w:val="18"/>
                <w:lang w:val="en-US" w:eastAsia="zh-CN"/>
              </w:rPr>
              <w:t>954</w:t>
            </w:r>
            <w:r>
              <w:rPr>
                <w:rFonts w:hint="eastAsia" w:ascii="宋体" w:hAnsi="宋体" w:eastAsia="宋体" w:cs="宋体"/>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Merge w:val="restart"/>
            <w:vAlign w:val="center"/>
          </w:tcPr>
          <w:p>
            <w:pPr>
              <w:ind w:left="53" w:leftChars="25" w:firstLine="9" w:firstLineChars="5"/>
              <w:rPr>
                <w:rFonts w:hint="eastAsia" w:ascii="宋体" w:hAnsi="宋体" w:eastAsia="宋体" w:cs="宋体"/>
                <w:sz w:val="18"/>
                <w:szCs w:val="18"/>
              </w:rPr>
            </w:pPr>
            <w:r>
              <w:rPr>
                <w:rFonts w:hint="eastAsia" w:ascii="宋体" w:hAnsi="宋体" w:eastAsia="宋体" w:cs="宋体"/>
                <w:color w:val="000000"/>
                <w:sz w:val="18"/>
                <w:szCs w:val="18"/>
              </w:rPr>
              <w:t>202</w:t>
            </w:r>
            <w:r>
              <w:rPr>
                <w:rFonts w:hint="eastAsia" w:ascii="宋体" w:hAnsi="宋体" w:eastAsia="宋体" w:cs="宋体"/>
                <w:color w:val="000000"/>
                <w:sz w:val="18"/>
                <w:szCs w:val="18"/>
                <w:lang w:val="en-US" w:eastAsia="zh-CN"/>
              </w:rPr>
              <w:t>4</w:t>
            </w:r>
            <w:r>
              <w:rPr>
                <w:rFonts w:hint="eastAsia" w:ascii="宋体" w:hAnsi="宋体" w:eastAsia="宋体" w:cs="宋体"/>
                <w:color w:val="000000"/>
                <w:sz w:val="18"/>
                <w:szCs w:val="18"/>
              </w:rPr>
              <w:t>年（经审计）</w:t>
            </w:r>
            <w:r>
              <w:rPr>
                <w:rFonts w:hint="eastAsia" w:ascii="宋体" w:hAnsi="宋体" w:eastAsia="宋体" w:cs="宋体"/>
                <w:sz w:val="18"/>
                <w:szCs w:val="18"/>
              </w:rPr>
              <w:t>业务收入</w:t>
            </w:r>
          </w:p>
        </w:tc>
        <w:tc>
          <w:tcPr>
            <w:tcW w:w="2198" w:type="dxa"/>
            <w:vAlign w:val="center"/>
          </w:tcPr>
          <w:p>
            <w:pPr>
              <w:ind w:left="53" w:leftChars="25" w:firstLine="9" w:firstLineChars="5"/>
              <w:rPr>
                <w:rFonts w:hint="eastAsia" w:ascii="宋体" w:hAnsi="宋体" w:eastAsia="宋体" w:cs="宋体"/>
                <w:sz w:val="18"/>
                <w:szCs w:val="18"/>
                <w:highlight w:val="yellow"/>
              </w:rPr>
            </w:pPr>
            <w:r>
              <w:rPr>
                <w:rFonts w:hint="eastAsia" w:ascii="宋体" w:hAnsi="宋体" w:eastAsia="宋体" w:cs="宋体"/>
                <w:sz w:val="18"/>
                <w:szCs w:val="18"/>
              </w:rPr>
              <w:t>业务收入总额</w:t>
            </w:r>
          </w:p>
        </w:tc>
        <w:tc>
          <w:tcPr>
            <w:tcW w:w="4473" w:type="dxa"/>
            <w:gridSpan w:val="4"/>
            <w:vAlign w:val="center"/>
          </w:tcPr>
          <w:p>
            <w:pPr>
              <w:ind w:left="465" w:hanging="360"/>
              <w:rPr>
                <w:rFonts w:hint="eastAsia" w:ascii="宋体" w:hAnsi="宋体" w:eastAsia="宋体" w:cs="宋体"/>
                <w:sz w:val="18"/>
                <w:szCs w:val="18"/>
              </w:rPr>
            </w:pPr>
            <w:r>
              <w:rPr>
                <w:rFonts w:hint="eastAsia" w:ascii="宋体" w:hAnsi="宋体" w:eastAsia="宋体" w:cs="宋体"/>
                <w:sz w:val="18"/>
                <w:szCs w:val="18"/>
              </w:rPr>
              <w:t>29.69亿元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Merge w:val="continue"/>
            <w:vAlign w:val="center"/>
          </w:tcPr>
          <w:p>
            <w:pPr>
              <w:ind w:left="53" w:leftChars="25" w:firstLine="9" w:firstLineChars="5"/>
              <w:rPr>
                <w:rFonts w:hint="eastAsia" w:ascii="宋体" w:hAnsi="宋体" w:eastAsia="宋体" w:cs="宋体"/>
                <w:sz w:val="18"/>
                <w:szCs w:val="18"/>
              </w:rPr>
            </w:pPr>
          </w:p>
        </w:tc>
        <w:tc>
          <w:tcPr>
            <w:tcW w:w="2198" w:type="dxa"/>
            <w:vAlign w:val="center"/>
          </w:tcPr>
          <w:p>
            <w:pPr>
              <w:ind w:left="53" w:leftChars="25" w:firstLine="9" w:firstLineChars="5"/>
              <w:rPr>
                <w:rFonts w:hint="eastAsia" w:ascii="宋体" w:hAnsi="宋体" w:eastAsia="宋体" w:cs="宋体"/>
                <w:sz w:val="18"/>
                <w:szCs w:val="18"/>
                <w:highlight w:val="yellow"/>
              </w:rPr>
            </w:pPr>
            <w:r>
              <w:rPr>
                <w:rFonts w:hint="eastAsia" w:ascii="宋体" w:hAnsi="宋体" w:eastAsia="宋体" w:cs="宋体"/>
                <w:sz w:val="18"/>
                <w:szCs w:val="18"/>
              </w:rPr>
              <w:t>审计业务收入</w:t>
            </w:r>
          </w:p>
        </w:tc>
        <w:tc>
          <w:tcPr>
            <w:tcW w:w="4473" w:type="dxa"/>
            <w:gridSpan w:val="4"/>
            <w:vAlign w:val="center"/>
          </w:tcPr>
          <w:p>
            <w:pPr>
              <w:ind w:left="465" w:hanging="360"/>
              <w:rPr>
                <w:rFonts w:hint="eastAsia" w:ascii="宋体" w:hAnsi="宋体" w:eastAsia="宋体" w:cs="宋体"/>
                <w:sz w:val="18"/>
                <w:szCs w:val="18"/>
              </w:rPr>
            </w:pPr>
            <w:r>
              <w:rPr>
                <w:rFonts w:hint="eastAsia" w:ascii="宋体" w:hAnsi="宋体" w:eastAsia="宋体" w:cs="宋体"/>
                <w:sz w:val="18"/>
                <w:szCs w:val="18"/>
              </w:rPr>
              <w:t>25.63亿元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Merge w:val="continue"/>
            <w:vAlign w:val="center"/>
          </w:tcPr>
          <w:p>
            <w:pPr>
              <w:ind w:left="53" w:leftChars="25" w:firstLine="9" w:firstLineChars="5"/>
              <w:rPr>
                <w:rFonts w:hint="eastAsia" w:ascii="宋体" w:hAnsi="宋体" w:eastAsia="宋体" w:cs="宋体"/>
                <w:sz w:val="18"/>
                <w:szCs w:val="18"/>
              </w:rPr>
            </w:pPr>
          </w:p>
        </w:tc>
        <w:tc>
          <w:tcPr>
            <w:tcW w:w="2198" w:type="dxa"/>
            <w:vAlign w:val="center"/>
          </w:tcPr>
          <w:p>
            <w:pPr>
              <w:ind w:left="53" w:leftChars="25" w:firstLine="9" w:firstLineChars="5"/>
              <w:rPr>
                <w:rFonts w:hint="eastAsia" w:ascii="宋体" w:hAnsi="宋体" w:eastAsia="宋体" w:cs="宋体"/>
                <w:sz w:val="18"/>
                <w:szCs w:val="18"/>
              </w:rPr>
            </w:pPr>
            <w:r>
              <w:rPr>
                <w:rFonts w:hint="eastAsia" w:ascii="宋体" w:hAnsi="宋体" w:eastAsia="宋体" w:cs="宋体"/>
                <w:sz w:val="18"/>
                <w:szCs w:val="18"/>
              </w:rPr>
              <w:t>证券业务收入</w:t>
            </w:r>
          </w:p>
        </w:tc>
        <w:tc>
          <w:tcPr>
            <w:tcW w:w="4473" w:type="dxa"/>
            <w:gridSpan w:val="4"/>
            <w:vAlign w:val="center"/>
          </w:tcPr>
          <w:p>
            <w:pPr>
              <w:ind w:left="465" w:hanging="360"/>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4</w:t>
            </w:r>
            <w:r>
              <w:rPr>
                <w:rFonts w:hint="eastAsia" w:ascii="宋体" w:hAnsi="宋体" w:eastAsia="宋体" w:cs="宋体"/>
                <w:sz w:val="18"/>
                <w:szCs w:val="18"/>
              </w:rPr>
              <w:t>.</w:t>
            </w:r>
            <w:r>
              <w:rPr>
                <w:rFonts w:hint="eastAsia" w:ascii="宋体" w:hAnsi="宋体" w:eastAsia="宋体" w:cs="宋体"/>
                <w:sz w:val="18"/>
                <w:szCs w:val="18"/>
                <w:lang w:val="en-US" w:eastAsia="zh-CN"/>
              </w:rPr>
              <w:t>65</w:t>
            </w:r>
            <w:r>
              <w:rPr>
                <w:rFonts w:hint="eastAsia" w:ascii="宋体" w:hAnsi="宋体" w:eastAsia="宋体" w:cs="宋体"/>
                <w:sz w:val="18"/>
                <w:szCs w:val="18"/>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Merge w:val="restart"/>
            <w:vAlign w:val="center"/>
          </w:tcPr>
          <w:p>
            <w:pPr>
              <w:ind w:left="53" w:leftChars="25" w:firstLine="9" w:firstLineChars="5"/>
              <w:rPr>
                <w:rFonts w:hint="eastAsia" w:ascii="宋体" w:hAnsi="宋体" w:eastAsia="宋体" w:cs="宋体"/>
                <w:sz w:val="18"/>
                <w:szCs w:val="18"/>
              </w:rPr>
            </w:pPr>
            <w:r>
              <w:rPr>
                <w:rFonts w:hint="eastAsia" w:ascii="宋体" w:hAnsi="宋体" w:eastAsia="宋体" w:cs="宋体"/>
                <w:sz w:val="18"/>
                <w:szCs w:val="18"/>
              </w:rPr>
              <w:t>20</w:t>
            </w:r>
            <w:r>
              <w:rPr>
                <w:rFonts w:hint="eastAsia" w:ascii="宋体" w:hAnsi="宋体" w:eastAsia="宋体" w:cs="宋体"/>
                <w:sz w:val="18"/>
                <w:szCs w:val="18"/>
                <w:lang w:val="en-US" w:eastAsia="zh-CN"/>
              </w:rPr>
              <w:t>24</w:t>
            </w:r>
            <w:r>
              <w:rPr>
                <w:rFonts w:hint="eastAsia" w:ascii="宋体" w:hAnsi="宋体" w:eastAsia="宋体" w:cs="宋体"/>
                <w:sz w:val="18"/>
                <w:szCs w:val="18"/>
              </w:rPr>
              <w:t>年上市公司（含A、B股）审计情况</w:t>
            </w:r>
          </w:p>
        </w:tc>
        <w:tc>
          <w:tcPr>
            <w:tcW w:w="2198" w:type="dxa"/>
            <w:vAlign w:val="center"/>
          </w:tcPr>
          <w:p>
            <w:pPr>
              <w:ind w:left="53" w:leftChars="25" w:firstLine="9" w:firstLineChars="5"/>
              <w:rPr>
                <w:rFonts w:hint="eastAsia" w:ascii="宋体" w:hAnsi="宋体" w:eastAsia="宋体" w:cs="宋体"/>
                <w:sz w:val="18"/>
                <w:szCs w:val="18"/>
              </w:rPr>
            </w:pPr>
            <w:r>
              <w:rPr>
                <w:rFonts w:hint="eastAsia" w:ascii="宋体" w:hAnsi="宋体" w:eastAsia="宋体" w:cs="宋体"/>
                <w:sz w:val="18"/>
                <w:szCs w:val="18"/>
              </w:rPr>
              <w:t>客户家数</w:t>
            </w:r>
          </w:p>
        </w:tc>
        <w:tc>
          <w:tcPr>
            <w:tcW w:w="4473" w:type="dxa"/>
            <w:gridSpan w:val="4"/>
            <w:vAlign w:val="center"/>
          </w:tcPr>
          <w:p>
            <w:pPr>
              <w:ind w:left="465" w:hanging="360"/>
              <w:rPr>
                <w:rFonts w:hint="eastAsia" w:ascii="宋体" w:hAnsi="宋体" w:eastAsia="宋体" w:cs="宋体"/>
                <w:sz w:val="18"/>
                <w:szCs w:val="18"/>
              </w:rPr>
            </w:pPr>
            <w:r>
              <w:rPr>
                <w:rFonts w:hint="eastAsia" w:ascii="宋体" w:hAnsi="宋体" w:eastAsia="宋体" w:cs="宋体"/>
                <w:sz w:val="18"/>
                <w:szCs w:val="18"/>
                <w:lang w:val="en-US" w:eastAsia="zh-CN"/>
              </w:rPr>
              <w:t>756</w:t>
            </w:r>
            <w:r>
              <w:rPr>
                <w:rFonts w:hint="eastAsia" w:ascii="宋体" w:hAnsi="宋体" w:eastAsia="宋体" w:cs="宋体"/>
                <w:sz w:val="18"/>
                <w:szCs w:val="1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Merge w:val="continue"/>
            <w:vAlign w:val="center"/>
          </w:tcPr>
          <w:p>
            <w:pPr>
              <w:ind w:left="53" w:leftChars="25" w:firstLine="9" w:firstLineChars="5"/>
              <w:rPr>
                <w:rFonts w:hint="eastAsia" w:ascii="宋体" w:hAnsi="宋体" w:eastAsia="宋体" w:cs="宋体"/>
                <w:sz w:val="18"/>
                <w:szCs w:val="18"/>
              </w:rPr>
            </w:pPr>
          </w:p>
        </w:tc>
        <w:tc>
          <w:tcPr>
            <w:tcW w:w="2198" w:type="dxa"/>
            <w:vAlign w:val="center"/>
          </w:tcPr>
          <w:p>
            <w:pPr>
              <w:ind w:left="53" w:leftChars="25" w:firstLine="9" w:firstLineChars="5"/>
              <w:rPr>
                <w:rFonts w:hint="eastAsia" w:ascii="宋体" w:hAnsi="宋体" w:eastAsia="宋体" w:cs="宋体"/>
                <w:sz w:val="18"/>
                <w:szCs w:val="18"/>
              </w:rPr>
            </w:pPr>
            <w:r>
              <w:rPr>
                <w:rFonts w:hint="eastAsia" w:ascii="宋体" w:hAnsi="宋体" w:eastAsia="宋体" w:cs="宋体"/>
                <w:sz w:val="18"/>
                <w:szCs w:val="18"/>
              </w:rPr>
              <w:t>审计收费总额</w:t>
            </w:r>
          </w:p>
        </w:tc>
        <w:tc>
          <w:tcPr>
            <w:tcW w:w="4473" w:type="dxa"/>
            <w:gridSpan w:val="4"/>
            <w:vAlign w:val="center"/>
          </w:tcPr>
          <w:p>
            <w:pPr>
              <w:ind w:left="465" w:hanging="360"/>
              <w:rPr>
                <w:rFonts w:hint="eastAsia" w:ascii="宋体" w:hAnsi="宋体" w:eastAsia="宋体" w:cs="宋体"/>
                <w:sz w:val="18"/>
                <w:szCs w:val="18"/>
              </w:rPr>
            </w:pPr>
            <w:r>
              <w:rPr>
                <w:rFonts w:hint="eastAsia" w:ascii="宋体" w:hAnsi="宋体" w:eastAsia="宋体" w:cs="宋体"/>
                <w:sz w:val="18"/>
                <w:szCs w:val="18"/>
                <w:lang w:val="en-US" w:eastAsia="zh-CN"/>
              </w:rPr>
              <w:t>7.35</w:t>
            </w:r>
            <w:r>
              <w:rPr>
                <w:rFonts w:hint="eastAsia" w:ascii="宋体" w:hAnsi="宋体" w:eastAsia="宋体" w:cs="宋体"/>
                <w:sz w:val="18"/>
                <w:szCs w:val="18"/>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Merge w:val="continue"/>
            <w:vAlign w:val="center"/>
          </w:tcPr>
          <w:p>
            <w:pPr>
              <w:ind w:left="53" w:leftChars="25" w:firstLine="9" w:firstLineChars="5"/>
              <w:rPr>
                <w:rFonts w:hint="eastAsia" w:ascii="宋体" w:hAnsi="宋体" w:eastAsia="宋体" w:cs="宋体"/>
                <w:sz w:val="18"/>
                <w:szCs w:val="18"/>
              </w:rPr>
            </w:pPr>
          </w:p>
        </w:tc>
        <w:tc>
          <w:tcPr>
            <w:tcW w:w="2198" w:type="dxa"/>
            <w:vAlign w:val="center"/>
          </w:tcPr>
          <w:p>
            <w:pPr>
              <w:ind w:left="465" w:hanging="360"/>
              <w:rPr>
                <w:rFonts w:hint="eastAsia" w:ascii="宋体" w:hAnsi="宋体" w:eastAsia="宋体" w:cs="宋体"/>
                <w:sz w:val="18"/>
                <w:szCs w:val="18"/>
              </w:rPr>
            </w:pPr>
            <w:r>
              <w:rPr>
                <w:rFonts w:hint="eastAsia" w:ascii="宋体" w:hAnsi="宋体" w:eastAsia="宋体" w:cs="宋体"/>
                <w:sz w:val="18"/>
                <w:szCs w:val="18"/>
              </w:rPr>
              <w:t>涉及主要行业</w:t>
            </w:r>
          </w:p>
        </w:tc>
        <w:tc>
          <w:tcPr>
            <w:tcW w:w="447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left="34" w:leftChars="16"/>
              <w:textAlignment w:val="auto"/>
              <w:rPr>
                <w:rFonts w:hint="eastAsia" w:ascii="宋体" w:hAnsi="宋体" w:eastAsia="宋体" w:cs="宋体"/>
                <w:sz w:val="18"/>
                <w:szCs w:val="18"/>
              </w:rPr>
            </w:pPr>
            <w:r>
              <w:rPr>
                <w:rFonts w:hint="eastAsia" w:ascii="宋体" w:hAnsi="宋体" w:eastAsia="宋体" w:cs="宋体"/>
                <w:sz w:val="18"/>
                <w:szCs w:val="18"/>
              </w:rPr>
              <w:t>制造业，信息传输、软件和信息技术服务业，批发和零售业，水利、环境和公共设施管理业，电力、热力、燃气及水生产和供应业，科学研究和技术服务业，农、林、牧、渔业，文化、体育和娱乐业，建筑业，房地产业，租赁和商务服务业，采矿业，金融业，交通运输、仓储和邮政业，综合，卫生和社会工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Merge w:val="continue"/>
            <w:vAlign w:val="center"/>
          </w:tcPr>
          <w:p>
            <w:pPr>
              <w:ind w:left="53" w:leftChars="25" w:firstLine="9" w:firstLineChars="5"/>
              <w:rPr>
                <w:rFonts w:hint="eastAsia" w:ascii="宋体" w:hAnsi="宋体" w:eastAsia="宋体" w:cs="宋体"/>
                <w:sz w:val="18"/>
                <w:szCs w:val="18"/>
              </w:rPr>
            </w:pPr>
          </w:p>
        </w:tc>
        <w:tc>
          <w:tcPr>
            <w:tcW w:w="4759" w:type="dxa"/>
            <w:gridSpan w:val="4"/>
            <w:vAlign w:val="center"/>
          </w:tcPr>
          <w:p>
            <w:pPr>
              <w:ind w:left="465" w:hanging="360"/>
              <w:jc w:val="left"/>
              <w:rPr>
                <w:rFonts w:hint="eastAsia" w:ascii="宋体" w:hAnsi="宋体" w:eastAsia="宋体" w:cs="宋体"/>
                <w:color w:val="000000"/>
                <w:sz w:val="18"/>
                <w:szCs w:val="18"/>
              </w:rPr>
            </w:pPr>
            <w:r>
              <w:rPr>
                <w:rFonts w:hint="eastAsia" w:ascii="宋体" w:hAnsi="宋体" w:eastAsia="宋体" w:cs="宋体"/>
                <w:color w:val="000000"/>
                <w:sz w:val="18"/>
                <w:szCs w:val="18"/>
              </w:rPr>
              <w:t>本公司同行业上市公司审计客户家数</w:t>
            </w:r>
          </w:p>
        </w:tc>
        <w:tc>
          <w:tcPr>
            <w:tcW w:w="1912" w:type="dxa"/>
            <w:vAlign w:val="center"/>
          </w:tcPr>
          <w:p>
            <w:pPr>
              <w:ind w:left="34" w:leftChars="16"/>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578</w:t>
            </w:r>
          </w:p>
        </w:tc>
      </w:tr>
    </w:tbl>
    <w:p>
      <w:pPr>
        <w:widowControl w:val="0"/>
        <w:autoSpaceDE w:val="0"/>
        <w:autoSpaceDN w:val="0"/>
        <w:adjustRightInd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2.投资者保护能力</w:t>
      </w:r>
    </w:p>
    <w:p>
      <w:pPr>
        <w:widowControl w:val="0"/>
        <w:autoSpaceDE w:val="0"/>
        <w:autoSpaceDN w:val="0"/>
        <w:adjustRightInd w:val="0"/>
        <w:spacing w:line="56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天健会计师事务所（特殊普通合伙）具有良好的投资者保护能力，已按照相关法律法规要求计提职业风险基金和购买职业保险。截至2025年末，累计已计提职业风险基金和购买的职业保险累计赔偿限额合计超过2亿元，职业风险基金计提及职业保险购买符合财政部关于《会计师事务所职业风险基金管理办法》等文件的相关规定。</w:t>
      </w:r>
    </w:p>
    <w:p>
      <w:pPr>
        <w:widowControl w:val="0"/>
        <w:autoSpaceDE w:val="0"/>
        <w:autoSpaceDN w:val="0"/>
        <w:adjustRightInd w:val="0"/>
        <w:spacing w:line="560" w:lineRule="exact"/>
        <w:ind w:firstLine="480" w:firstLineChars="200"/>
        <w:rPr>
          <w:rFonts w:hint="eastAsia" w:ascii="宋体" w:hAnsi="宋体" w:eastAsia="宋体" w:cs="宋体"/>
          <w:color w:val="000000"/>
          <w:kern w:val="2"/>
          <w:sz w:val="24"/>
          <w:szCs w:val="24"/>
          <w:lang w:val="en-US" w:eastAsia="zh-CN" w:bidi="ar-SA"/>
        </w:rPr>
      </w:pPr>
      <w:bookmarkStart w:id="0" w:name="OLE_LINK2"/>
      <w:r>
        <w:rPr>
          <w:rFonts w:hint="eastAsia" w:ascii="宋体" w:hAnsi="宋体" w:eastAsia="宋体" w:cs="宋体"/>
          <w:color w:val="000000"/>
          <w:kern w:val="2"/>
          <w:sz w:val="24"/>
          <w:szCs w:val="24"/>
          <w:lang w:val="en-US" w:eastAsia="zh-CN" w:bidi="ar-SA"/>
        </w:rPr>
        <w:t>天健近三年存在执业行为相关民事诉讼，在执业行为相关民事诉讼中存在承担民事责任情况。</w:t>
      </w:r>
      <w:bookmarkEnd w:id="0"/>
      <w:r>
        <w:rPr>
          <w:rFonts w:hint="eastAsia" w:ascii="宋体" w:hAnsi="宋体" w:eastAsia="宋体" w:cs="宋体"/>
          <w:color w:val="000000"/>
          <w:kern w:val="2"/>
          <w:sz w:val="24"/>
          <w:szCs w:val="24"/>
          <w:lang w:val="en-US" w:eastAsia="zh-CN" w:bidi="ar-SA"/>
        </w:rPr>
        <w:t>天健近三年因执业行为在相关民事诉讼中被判定需承担民事责任的情况如下：</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488"/>
        <w:gridCol w:w="1276"/>
        <w:gridCol w:w="3246"/>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2" w:type="pct"/>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0" w:firstLineChars="0"/>
              <w:jc w:val="center"/>
              <w:textAlignment w:val="auto"/>
              <w:rPr>
                <w:rFonts w:hint="eastAsia" w:ascii="宋体" w:hAnsi="宋体" w:eastAsia="宋体" w:cs="宋体"/>
                <w:sz w:val="18"/>
                <w:szCs w:val="18"/>
                <w:vertAlign w:val="baseline"/>
                <w:lang w:val="en-US" w:eastAsia="zh-CN"/>
              </w:rPr>
            </w:pPr>
            <w:bookmarkStart w:id="3" w:name="_GoBack"/>
            <w:r>
              <w:rPr>
                <w:rFonts w:hint="eastAsia" w:ascii="宋体" w:hAnsi="宋体" w:eastAsia="宋体" w:cs="宋体"/>
                <w:sz w:val="18"/>
                <w:szCs w:val="18"/>
                <w:vertAlign w:val="baseline"/>
                <w:lang w:val="en-US" w:eastAsia="zh-CN"/>
              </w:rPr>
              <w:t>原告</w:t>
            </w:r>
          </w:p>
        </w:tc>
        <w:tc>
          <w:tcPr>
            <w:tcW w:w="873" w:type="pct"/>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被告</w:t>
            </w:r>
          </w:p>
        </w:tc>
        <w:tc>
          <w:tcPr>
            <w:tcW w:w="749" w:type="pct"/>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案件时间</w:t>
            </w:r>
          </w:p>
        </w:tc>
        <w:tc>
          <w:tcPr>
            <w:tcW w:w="1905" w:type="pct"/>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主要案情</w:t>
            </w:r>
          </w:p>
        </w:tc>
        <w:tc>
          <w:tcPr>
            <w:tcW w:w="939" w:type="pct"/>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0" w:firstLine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诉讼进展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0" w:firstLineChars="0"/>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color w:val="auto"/>
                <w:sz w:val="18"/>
                <w:szCs w:val="18"/>
                <w:vertAlign w:val="baseline"/>
                <w:lang w:val="en-US" w:eastAsia="zh-CN"/>
              </w:rPr>
              <w:t>投资者</w:t>
            </w:r>
          </w:p>
        </w:tc>
        <w:tc>
          <w:tcPr>
            <w:tcW w:w="87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0" w:firstLineChars="0"/>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color w:val="auto"/>
                <w:sz w:val="18"/>
                <w:szCs w:val="18"/>
                <w:vertAlign w:val="baseline"/>
                <w:lang w:val="en-US" w:eastAsia="zh-CN"/>
              </w:rPr>
              <w:t>华仪电气、东海证券、天健</w:t>
            </w:r>
          </w:p>
        </w:tc>
        <w:tc>
          <w:tcPr>
            <w:tcW w:w="74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0" w:firstLineChars="0"/>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color w:val="auto"/>
                <w:sz w:val="18"/>
                <w:szCs w:val="18"/>
                <w:vertAlign w:val="baseline"/>
                <w:lang w:val="en-US" w:eastAsia="zh-CN"/>
              </w:rPr>
              <w:t>2024年3月6日</w:t>
            </w:r>
          </w:p>
        </w:tc>
        <w:tc>
          <w:tcPr>
            <w:tcW w:w="190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0" w:firstLineChars="0"/>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天健作为华仪电气2017年度、2019年度年报审计机构，因华仪电气涉嫌财务造假，在后续证券虚假陈述诉讼案件中被列为共同被告，要求承担连带赔偿责任。</w:t>
            </w:r>
          </w:p>
        </w:tc>
        <w:tc>
          <w:tcPr>
            <w:tcW w:w="93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0" w:firstLineChars="0"/>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已完结（天健需在5%的范围内与华仪电气承担连带责任，天健已按期履行判决）</w:t>
            </w:r>
          </w:p>
        </w:tc>
      </w:tr>
      <w:bookmarkEnd w:id="3"/>
    </w:tbl>
    <w:p>
      <w:pPr>
        <w:widowControl w:val="0"/>
        <w:autoSpaceDE w:val="0"/>
        <w:autoSpaceDN w:val="0"/>
        <w:adjustRightInd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上述案件已完结，且天健已按期履行终审判决，不会对本所履行能力产生任何不利影响。</w:t>
      </w:r>
    </w:p>
    <w:p>
      <w:pPr>
        <w:widowControl w:val="0"/>
        <w:autoSpaceDE w:val="0"/>
        <w:autoSpaceDN w:val="0"/>
        <w:adjustRightInd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3.诚信记录</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天健会计师事务所（特殊普通合伙）近三年（2023年1月1日至2025年12月31日）因执业行为受到行政处罚4次、监督管理措施18次、自律监管措施13次，纪律处分5次，未受到刑事处罚。112名从业人员近三年因执业行为受到行政处罚15人次、监督管理措施63人次、自律监管措施42人次、纪律处分23人次，未受到刑事处罚。</w:t>
      </w:r>
    </w:p>
    <w:p>
      <w:pPr>
        <w:widowControl w:val="0"/>
        <w:autoSpaceDE w:val="0"/>
        <w:autoSpaceDN w:val="0"/>
        <w:adjustRightInd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（二）项目信息</w:t>
      </w:r>
    </w:p>
    <w:p>
      <w:pPr>
        <w:widowControl w:val="0"/>
        <w:autoSpaceDE w:val="0"/>
        <w:autoSpaceDN w:val="0"/>
        <w:adjustRightInd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1.基本信息</w:t>
      </w:r>
    </w:p>
    <w:p>
      <w:pPr>
        <w:widowControl w:val="0"/>
        <w:autoSpaceDE w:val="0"/>
        <w:autoSpaceDN w:val="0"/>
        <w:adjustRightInd w:val="0"/>
        <w:spacing w:line="560" w:lineRule="exact"/>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合伙人及拟签字注册会计师1：黄巧梅，2000年成为注册会计师，1998年开始从事上市公司审计，2012年开始在天健会所执业，2024年10月开始为本公司提供审计服务；近三年签署或复核了北大医药、重庆啤酒、博腾股份、望变电气等上市公司审计报告。</w:t>
      </w:r>
    </w:p>
    <w:p>
      <w:pPr>
        <w:widowControl w:val="0"/>
        <w:autoSpaceDE w:val="0"/>
        <w:autoSpaceDN w:val="0"/>
        <w:adjustRightInd w:val="0"/>
        <w:spacing w:line="560" w:lineRule="exact"/>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签字注册会计师2：李小燕，2013年成为注册会计师，2007年开始从事上市公司审计，2013年开始在会所执业，2024年10月开始为本公司提供审计服务；近三年签署了新大正、涪陵榨菜、望变电气三家上市公司审计报告。</w:t>
      </w:r>
    </w:p>
    <w:p>
      <w:pPr>
        <w:widowControl w:val="0"/>
        <w:autoSpaceDE w:val="0"/>
        <w:autoSpaceDN w:val="0"/>
        <w:adjustRightInd w:val="0"/>
        <w:spacing w:line="56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kern w:val="2"/>
          <w:sz w:val="24"/>
          <w:szCs w:val="24"/>
          <w:lang w:val="en-US" w:eastAsia="zh-CN" w:bidi="ar-SA"/>
        </w:rPr>
        <w:t>项目质量控制复核人：李正卫，2006年成为注册会计师，2004年开始从事上市公司审计，2006年开始在天健会所执业，2024年10月开始为本公司提供审计服务；近三年签署或复核了众鑫股份、西大门、国盛智科等上市公司审计报告。</w:t>
      </w:r>
    </w:p>
    <w:p>
      <w:pPr>
        <w:widowControl w:val="0"/>
        <w:autoSpaceDE w:val="0"/>
        <w:autoSpaceDN w:val="0"/>
        <w:adjustRightInd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2.诚信记录</w:t>
      </w:r>
    </w:p>
    <w:p>
      <w:pPr>
        <w:widowControl w:val="0"/>
        <w:autoSpaceDE w:val="0"/>
        <w:autoSpaceDN w:val="0"/>
        <w:adjustRightInd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szCs w:val="24"/>
          <w:lang w:val="en-US" w:eastAsia="zh-CN" w:bidi="ar-SA"/>
        </w:rPr>
        <w:t>项目合伙人、签字注册会计师、项目质量控制复核人近三年未因执业行为受到刑事处罚，受到证监会及其派出机构、行业主管部门等的行政处罚、监督管理措施，受到证券交易所、行业协会等自律组织的自律监管措施、纪律处分。</w:t>
      </w:r>
    </w:p>
    <w:p>
      <w:pPr>
        <w:widowControl w:val="0"/>
        <w:autoSpaceDE w:val="0"/>
        <w:autoSpaceDN w:val="0"/>
        <w:adjustRightInd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3.独立性</w:t>
      </w:r>
    </w:p>
    <w:p>
      <w:pPr>
        <w:widowControl w:val="0"/>
        <w:autoSpaceDE w:val="0"/>
        <w:autoSpaceDN w:val="0"/>
        <w:adjustRightInd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天健会所及项目合伙人、签字注册会计师、项目质量控制复核人能够在执行本项目审计工作时保持独立性。</w:t>
      </w:r>
    </w:p>
    <w:p>
      <w:pPr>
        <w:widowControl w:val="0"/>
        <w:autoSpaceDE w:val="0"/>
        <w:autoSpaceDN w:val="0"/>
        <w:adjustRightInd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4.审计收费</w:t>
      </w:r>
    </w:p>
    <w:p>
      <w:pPr>
        <w:widowControl w:val="0"/>
        <w:autoSpaceDE w:val="0"/>
        <w:autoSpaceDN w:val="0"/>
        <w:adjustRightInd w:val="0"/>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2025年年报审计费用110万元（含子公司），内控审计费用25万元；2026年报酬及其支付方式具体规定从其《审计业务约定书》。</w:t>
      </w:r>
    </w:p>
    <w:p>
      <w:pPr>
        <w:widowControl w:val="0"/>
        <w:autoSpaceDE w:val="0"/>
        <w:autoSpaceDN w:val="0"/>
        <w:adjustRightInd w:val="0"/>
        <w:spacing w:line="560" w:lineRule="exact"/>
        <w:ind w:firstLine="480" w:firstLineChars="200"/>
        <w:rPr>
          <w:rFonts w:hint="eastAsia" w:ascii="宋体" w:hAnsi="宋体" w:eastAsia="宋体" w:cs="宋体"/>
          <w:color w:val="auto"/>
          <w:kern w:val="2"/>
          <w:sz w:val="24"/>
          <w:szCs w:val="24"/>
          <w:highlight w:val="none"/>
          <w:lang w:val="en-US" w:eastAsia="zh-CN" w:bidi="ar-SA"/>
        </w:rPr>
      </w:pPr>
    </w:p>
    <w:p>
      <w:pPr>
        <w:adjustRightInd w:val="0"/>
        <w:snapToGrid w:val="0"/>
        <w:spacing w:line="560" w:lineRule="exact"/>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二</w:t>
      </w:r>
      <w:r>
        <w:rPr>
          <w:rFonts w:hint="eastAsia" w:ascii="宋体" w:hAnsi="宋体" w:eastAsia="宋体" w:cs="宋体"/>
          <w:b/>
          <w:bCs/>
          <w:sz w:val="24"/>
          <w:szCs w:val="24"/>
        </w:rPr>
        <w:t>、拟续聘会计师事务所履行的程序</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（一）审计委员会审议意见</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公司审计委员会查阅了天健会所有关资格证照、相关信息和诚信记录，认可天健会所的独立性、专业胜任能力、投资者保护能力。天健会所在担任公司财务报告及内部控制审计机构期间，严格按照国家相关法律法规的规定，遵守职业道德规范，坚持独立、客观、公正的审计原则，严格按照审计准则的规定执行审计工作。公司审计委员会向董事会提议续聘天健会所为公司202</w:t>
      </w:r>
      <w:r>
        <w:rPr>
          <w:rFonts w:hint="eastAsia" w:ascii="宋体" w:hAnsi="宋体" w:cs="宋体"/>
          <w:sz w:val="24"/>
          <w:szCs w:val="24"/>
          <w:lang w:val="en-US" w:eastAsia="zh-CN"/>
        </w:rPr>
        <w:t>6</w:t>
      </w:r>
      <w:r>
        <w:rPr>
          <w:rFonts w:hint="eastAsia" w:ascii="宋体" w:hAnsi="宋体" w:eastAsia="宋体" w:cs="宋体"/>
          <w:sz w:val="24"/>
          <w:szCs w:val="24"/>
        </w:rPr>
        <w:t>年度财务报告及内部控制的审计机构。</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（二）董事会的审议和表决情况</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公司于202</w:t>
      </w:r>
      <w:r>
        <w:rPr>
          <w:rFonts w:hint="eastAsia" w:ascii="宋体" w:hAnsi="宋体" w:cs="宋体"/>
          <w:sz w:val="24"/>
          <w:szCs w:val="24"/>
          <w:lang w:val="en-US" w:eastAsia="zh-CN"/>
        </w:rPr>
        <w:t>6</w:t>
      </w:r>
      <w:r>
        <w:rPr>
          <w:rFonts w:hint="eastAsia" w:ascii="宋体" w:hAnsi="宋体" w:eastAsia="宋体" w:cs="宋体"/>
          <w:sz w:val="24"/>
          <w:szCs w:val="24"/>
        </w:rPr>
        <w:t>年4月</w:t>
      </w:r>
      <w:r>
        <w:rPr>
          <w:rFonts w:hint="eastAsia" w:ascii="宋体" w:hAnsi="宋体" w:cs="宋体"/>
          <w:sz w:val="24"/>
          <w:szCs w:val="24"/>
          <w:lang w:val="en-US" w:eastAsia="zh-CN"/>
        </w:rPr>
        <w:t>2</w:t>
      </w:r>
      <w:r>
        <w:rPr>
          <w:rFonts w:hint="eastAsia" w:ascii="宋体" w:hAnsi="宋体" w:eastAsia="宋体" w:cs="宋体"/>
          <w:sz w:val="24"/>
          <w:szCs w:val="24"/>
        </w:rPr>
        <w:t>日召开第四届董事会第十</w:t>
      </w:r>
      <w:r>
        <w:rPr>
          <w:rFonts w:hint="eastAsia" w:ascii="宋体" w:hAnsi="宋体" w:cs="宋体"/>
          <w:sz w:val="24"/>
          <w:szCs w:val="24"/>
          <w:lang w:val="en-US" w:eastAsia="zh-CN"/>
        </w:rPr>
        <w:t>八</w:t>
      </w:r>
      <w:r>
        <w:rPr>
          <w:rFonts w:hint="eastAsia" w:ascii="宋体" w:hAnsi="宋体" w:eastAsia="宋体" w:cs="宋体"/>
          <w:sz w:val="24"/>
          <w:szCs w:val="24"/>
        </w:rPr>
        <w:t>次会议</w:t>
      </w:r>
      <w:r>
        <w:rPr>
          <w:rFonts w:hint="eastAsia" w:ascii="宋体" w:hAnsi="宋体" w:cs="宋体"/>
          <w:sz w:val="24"/>
          <w:szCs w:val="24"/>
          <w:lang w:eastAsia="zh-CN"/>
        </w:rPr>
        <w:t>，</w:t>
      </w:r>
      <w:r>
        <w:rPr>
          <w:rFonts w:hint="eastAsia" w:ascii="宋体" w:hAnsi="宋体" w:eastAsia="宋体" w:cs="宋体"/>
          <w:sz w:val="24"/>
          <w:szCs w:val="24"/>
        </w:rPr>
        <w:t>审议通过了《关于续聘会计师事务所的议案》，同意公司续聘天健会计师事务所（特殊普通合伙）为公司202</w:t>
      </w:r>
      <w:r>
        <w:rPr>
          <w:rFonts w:hint="eastAsia" w:ascii="宋体" w:hAnsi="宋体" w:cs="宋体"/>
          <w:sz w:val="24"/>
          <w:szCs w:val="24"/>
          <w:lang w:val="en-US" w:eastAsia="zh-CN"/>
        </w:rPr>
        <w:t>6</w:t>
      </w:r>
      <w:r>
        <w:rPr>
          <w:rFonts w:hint="eastAsia" w:ascii="宋体" w:hAnsi="宋体" w:eastAsia="宋体" w:cs="宋体"/>
          <w:sz w:val="24"/>
          <w:szCs w:val="24"/>
        </w:rPr>
        <w:t>年度财务报告和内部控制审计机构。</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（三）生效日期</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本次聘任会计师事务所事项尚需提交公司202</w:t>
      </w:r>
      <w:r>
        <w:rPr>
          <w:rFonts w:hint="eastAsia" w:ascii="宋体" w:hAnsi="宋体" w:cs="宋体"/>
          <w:sz w:val="24"/>
          <w:szCs w:val="24"/>
          <w:lang w:val="en-US" w:eastAsia="zh-CN"/>
        </w:rPr>
        <w:t>5</w:t>
      </w:r>
      <w:r>
        <w:rPr>
          <w:rFonts w:hint="eastAsia" w:ascii="宋体" w:hAnsi="宋体" w:eastAsia="宋体" w:cs="宋体"/>
          <w:sz w:val="24"/>
          <w:szCs w:val="24"/>
        </w:rPr>
        <w:t>年年度股东会审议，并自公司202</w:t>
      </w:r>
      <w:r>
        <w:rPr>
          <w:rFonts w:hint="eastAsia" w:ascii="宋体" w:hAnsi="宋体" w:cs="宋体"/>
          <w:sz w:val="24"/>
          <w:szCs w:val="24"/>
          <w:lang w:val="en-US" w:eastAsia="zh-CN"/>
        </w:rPr>
        <w:t>5</w:t>
      </w:r>
      <w:r>
        <w:rPr>
          <w:rFonts w:hint="eastAsia" w:ascii="宋体" w:hAnsi="宋体" w:eastAsia="宋体" w:cs="宋体"/>
          <w:sz w:val="24"/>
          <w:szCs w:val="24"/>
        </w:rPr>
        <w:t>年年度股东会审议通过之日起生效。</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特此公告。</w:t>
      </w:r>
    </w:p>
    <w:p>
      <w:pPr>
        <w:adjustRightInd w:val="0"/>
        <w:snapToGrid w:val="0"/>
        <w:spacing w:line="560" w:lineRule="exact"/>
        <w:ind w:firstLine="480" w:firstLineChars="200"/>
        <w:jc w:val="right"/>
        <w:rPr>
          <w:rFonts w:hint="eastAsia" w:ascii="宋体" w:hAnsi="宋体" w:eastAsia="宋体" w:cs="宋体"/>
          <w:sz w:val="24"/>
          <w:szCs w:val="24"/>
        </w:rPr>
      </w:pPr>
    </w:p>
    <w:p>
      <w:pPr>
        <w:adjustRightInd w:val="0"/>
        <w:snapToGrid w:val="0"/>
        <w:spacing w:line="560" w:lineRule="exact"/>
        <w:ind w:firstLine="480" w:firstLineChars="200"/>
        <w:jc w:val="right"/>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kern w:val="0"/>
          <w:sz w:val="24"/>
          <w:szCs w:val="24"/>
        </w:rPr>
        <w:t>重庆望变电气（集团）股份有限公司</w:t>
      </w:r>
      <w:r>
        <w:rPr>
          <w:rFonts w:hint="eastAsia" w:ascii="宋体" w:hAnsi="宋体" w:eastAsia="宋体" w:cs="宋体"/>
          <w:color w:val="000000"/>
          <w:sz w:val="24"/>
          <w:szCs w:val="24"/>
        </w:rPr>
        <w:t>董事会</w:t>
      </w:r>
    </w:p>
    <w:p>
      <w:pPr>
        <w:adjustRightInd w:val="0"/>
        <w:snapToGrid w:val="0"/>
        <w:spacing w:line="560" w:lineRule="exact"/>
        <w:ind w:firstLine="480" w:firstLineChars="200"/>
        <w:jc w:val="right"/>
        <w:rPr>
          <w:rFonts w:ascii="Times New Roman" w:hAnsi="Times New Roman" w:eastAsia="仿宋_GB2312"/>
          <w:b/>
          <w:color w:val="000000"/>
          <w:sz w:val="30"/>
          <w:szCs w:val="30"/>
        </w:rPr>
      </w:pPr>
      <w:r>
        <w:rPr>
          <w:rFonts w:hint="eastAsia" w:ascii="宋体" w:hAnsi="宋体" w:cs="宋体"/>
          <w:sz w:val="24"/>
          <w:szCs w:val="24"/>
          <w:lang w:val="en-US" w:eastAsia="zh-CN"/>
        </w:rPr>
        <w:t>2026</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4</w:t>
      </w:r>
      <w:r>
        <w:rPr>
          <w:rFonts w:hint="eastAsia" w:ascii="宋体" w:hAnsi="宋体" w:eastAsia="宋体" w:cs="宋体"/>
          <w:sz w:val="24"/>
          <w:szCs w:val="24"/>
        </w:rPr>
        <w:t>日</w:t>
      </w:r>
      <w:bookmarkStart w:id="1" w:name="_Hlk62400095"/>
      <w:bookmarkStart w:id="2" w:name="_Hlk62400062"/>
    </w:p>
    <w:bookmarkEnd w:id="1"/>
    <w:bookmarkEnd w:id="2"/>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0AF2CD"/>
    <w:multiLevelType w:val="singleLevel"/>
    <w:tmpl w:val="FB0AF2CD"/>
    <w:lvl w:ilvl="0" w:tentative="0">
      <w:start w:val="1"/>
      <w:numFmt w:val="decimal"/>
      <w:lvlText w:val="%1."/>
      <w:lvlJc w:val="left"/>
      <w:pPr>
        <w:tabs>
          <w:tab w:val="left" w:pos="312"/>
        </w:tabs>
      </w:pPr>
    </w:lvl>
  </w:abstractNum>
  <w:abstractNum w:abstractNumId="1">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xN2U5ZTdjMDMzOTBiYTU0YjliN2JjZTU3NWI5MGMifQ=="/>
  </w:docVars>
  <w:rsids>
    <w:rsidRoot w:val="00947317"/>
    <w:rsid w:val="00012A9B"/>
    <w:rsid w:val="0011084A"/>
    <w:rsid w:val="00127A16"/>
    <w:rsid w:val="001B7BFE"/>
    <w:rsid w:val="002131AA"/>
    <w:rsid w:val="00237F2D"/>
    <w:rsid w:val="00254C3E"/>
    <w:rsid w:val="00320202"/>
    <w:rsid w:val="00367ABF"/>
    <w:rsid w:val="003C3F67"/>
    <w:rsid w:val="003C6296"/>
    <w:rsid w:val="00454DFE"/>
    <w:rsid w:val="004627D1"/>
    <w:rsid w:val="00462A71"/>
    <w:rsid w:val="00466F9B"/>
    <w:rsid w:val="004F0608"/>
    <w:rsid w:val="004F3114"/>
    <w:rsid w:val="005048F2"/>
    <w:rsid w:val="00511F03"/>
    <w:rsid w:val="0053347F"/>
    <w:rsid w:val="005F2001"/>
    <w:rsid w:val="006325E7"/>
    <w:rsid w:val="006A792D"/>
    <w:rsid w:val="006B112A"/>
    <w:rsid w:val="006C6EB5"/>
    <w:rsid w:val="006F6618"/>
    <w:rsid w:val="00725813"/>
    <w:rsid w:val="00727020"/>
    <w:rsid w:val="00727100"/>
    <w:rsid w:val="007400A5"/>
    <w:rsid w:val="007B7A45"/>
    <w:rsid w:val="007C4B83"/>
    <w:rsid w:val="007D4FAA"/>
    <w:rsid w:val="007D58A0"/>
    <w:rsid w:val="007D7265"/>
    <w:rsid w:val="007F31D5"/>
    <w:rsid w:val="007F3A2B"/>
    <w:rsid w:val="00803A42"/>
    <w:rsid w:val="008048E3"/>
    <w:rsid w:val="008A20FF"/>
    <w:rsid w:val="00915FF9"/>
    <w:rsid w:val="0092559B"/>
    <w:rsid w:val="00927D6C"/>
    <w:rsid w:val="00947317"/>
    <w:rsid w:val="009A5FE5"/>
    <w:rsid w:val="009A6AB8"/>
    <w:rsid w:val="009F60DD"/>
    <w:rsid w:val="00A1755F"/>
    <w:rsid w:val="00A218BE"/>
    <w:rsid w:val="00A364E1"/>
    <w:rsid w:val="00A5007A"/>
    <w:rsid w:val="00A65E04"/>
    <w:rsid w:val="00AA21B4"/>
    <w:rsid w:val="00AF1D46"/>
    <w:rsid w:val="00B14972"/>
    <w:rsid w:val="00B40892"/>
    <w:rsid w:val="00B41929"/>
    <w:rsid w:val="00B46DA5"/>
    <w:rsid w:val="00B77AF5"/>
    <w:rsid w:val="00BA4B4F"/>
    <w:rsid w:val="00BB70E9"/>
    <w:rsid w:val="00BC245E"/>
    <w:rsid w:val="00BC2B82"/>
    <w:rsid w:val="00BF4CBD"/>
    <w:rsid w:val="00BF707A"/>
    <w:rsid w:val="00C22365"/>
    <w:rsid w:val="00C40B96"/>
    <w:rsid w:val="00C55B7E"/>
    <w:rsid w:val="00CB104D"/>
    <w:rsid w:val="00CB6C7E"/>
    <w:rsid w:val="00CD29AE"/>
    <w:rsid w:val="00CE7B0B"/>
    <w:rsid w:val="00D65D65"/>
    <w:rsid w:val="00DD3DB6"/>
    <w:rsid w:val="00DD505B"/>
    <w:rsid w:val="00DF1E22"/>
    <w:rsid w:val="00E02E91"/>
    <w:rsid w:val="00E11A1C"/>
    <w:rsid w:val="00E138BC"/>
    <w:rsid w:val="00E84282"/>
    <w:rsid w:val="00E91098"/>
    <w:rsid w:val="00EB5C8E"/>
    <w:rsid w:val="00EF13A1"/>
    <w:rsid w:val="00F6307D"/>
    <w:rsid w:val="00F765C7"/>
    <w:rsid w:val="00F953E0"/>
    <w:rsid w:val="00FF28D1"/>
    <w:rsid w:val="00FF70A7"/>
    <w:rsid w:val="0BAD7B51"/>
    <w:rsid w:val="427C579A"/>
    <w:rsid w:val="50F348AD"/>
    <w:rsid w:val="520F53AD"/>
    <w:rsid w:val="5EE44465"/>
    <w:rsid w:val="7BDFF726"/>
    <w:rsid w:val="7E2B5318"/>
    <w:rsid w:val="7EAD782D"/>
    <w:rsid w:val="A5FD393C"/>
    <w:rsid w:val="B7EE32A4"/>
    <w:rsid w:val="F98F6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7"/>
    <w:unhideWhenUsed/>
    <w:qFormat/>
    <w:uiPriority w:val="99"/>
    <w:pPr>
      <w:snapToGrid w:val="0"/>
      <w:jc w:val="left"/>
    </w:pPr>
    <w:rPr>
      <w:sz w:val="18"/>
      <w:szCs w:val="18"/>
    </w:rPr>
  </w:style>
  <w:style w:type="paragraph" w:styleId="7">
    <w:name w:val="annotation subject"/>
    <w:basedOn w:val="2"/>
    <w:next w:val="2"/>
    <w:link w:val="18"/>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unhideWhenUsed/>
    <w:qFormat/>
    <w:uiPriority w:val="99"/>
    <w:rPr>
      <w:sz w:val="21"/>
      <w:szCs w:val="21"/>
    </w:rPr>
  </w:style>
  <w:style w:type="character" w:styleId="12">
    <w:name w:val="footnote reference"/>
    <w:unhideWhenUsed/>
    <w:qFormat/>
    <w:uiPriority w:val="99"/>
    <w:rPr>
      <w:vertAlign w:val="superscript"/>
    </w:rPr>
  </w:style>
  <w:style w:type="character" w:customStyle="1" w:styleId="13">
    <w:name w:val="批注文字 Char"/>
    <w:link w:val="2"/>
    <w:semiHidden/>
    <w:qFormat/>
    <w:uiPriority w:val="99"/>
    <w:rPr>
      <w:rFonts w:ascii="Times New Roman" w:hAnsi="Times New Roman" w:eastAsia="宋体" w:cs="Times New Roman"/>
      <w:szCs w:val="24"/>
    </w:rPr>
  </w:style>
  <w:style w:type="character" w:customStyle="1" w:styleId="14">
    <w:name w:val="批注框文本 Char"/>
    <w:link w:val="3"/>
    <w:semiHidden/>
    <w:qFormat/>
    <w:uiPriority w:val="99"/>
    <w:rPr>
      <w:rFonts w:ascii="Times New Roman" w:hAnsi="Times New Roman" w:eastAsia="宋体" w:cs="Times New Roman"/>
      <w:sz w:val="18"/>
      <w:szCs w:val="18"/>
    </w:rPr>
  </w:style>
  <w:style w:type="character" w:customStyle="1" w:styleId="15">
    <w:name w:val="页脚 Char"/>
    <w:link w:val="4"/>
    <w:qFormat/>
    <w:uiPriority w:val="99"/>
    <w:rPr>
      <w:rFonts w:ascii="Times New Roman" w:hAnsi="Times New Roman" w:eastAsia="宋体" w:cs="Times New Roman"/>
      <w:sz w:val="18"/>
      <w:szCs w:val="18"/>
    </w:rPr>
  </w:style>
  <w:style w:type="character" w:customStyle="1" w:styleId="16">
    <w:name w:val="页眉 Char"/>
    <w:link w:val="5"/>
    <w:qFormat/>
    <w:uiPriority w:val="99"/>
    <w:rPr>
      <w:rFonts w:ascii="Times New Roman" w:hAnsi="Times New Roman" w:eastAsia="宋体" w:cs="Times New Roman"/>
      <w:sz w:val="18"/>
      <w:szCs w:val="18"/>
    </w:rPr>
  </w:style>
  <w:style w:type="character" w:customStyle="1" w:styleId="17">
    <w:name w:val="脚注文本 Char"/>
    <w:link w:val="6"/>
    <w:semiHidden/>
    <w:qFormat/>
    <w:uiPriority w:val="99"/>
    <w:rPr>
      <w:rFonts w:ascii="Times New Roman" w:hAnsi="Times New Roman" w:eastAsia="宋体" w:cs="Times New Roman"/>
      <w:sz w:val="18"/>
      <w:szCs w:val="18"/>
    </w:rPr>
  </w:style>
  <w:style w:type="character" w:customStyle="1" w:styleId="18">
    <w:name w:val="批注主题 Char"/>
    <w:link w:val="7"/>
    <w:semiHidden/>
    <w:qFormat/>
    <w:uiPriority w:val="99"/>
    <w:rPr>
      <w:rFonts w:ascii="Times New Roman" w:hAnsi="Times New Roman" w:eastAsia="宋体" w:cs="Times New Roman"/>
      <w:b/>
      <w:bCs/>
      <w:szCs w:val="24"/>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2018</Words>
  <Characters>2173</Characters>
  <Lines>14</Lines>
  <Paragraphs>4</Paragraphs>
  <TotalTime>1</TotalTime>
  <ScaleCrop>false</ScaleCrop>
  <LinksUpToDate>false</LinksUpToDate>
  <CharactersWithSpaces>2200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2023-08-04T18:59:00Z</dcterms:created>
  <dc:creator>whzhou</dc:creator>
  <cp:lastModifiedBy>雯亦</cp:lastModifiedBy>
  <dcterms:modified xsi:type="dcterms:W3CDTF">2026-04-02T06:07:09Z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F91780B148E04FFD8CACB9064FAB7493</vt:lpwstr>
  </property>
  <property fmtid="{D5CDD505-2E9C-101B-9397-08002B2CF9AE}" pid="4" name="KSOTemplateDocerSaveRecord">
    <vt:lpwstr>eyJoZGlkIjoiZTQzZmRmZDMxMjkwMDE2NTk0ZWQ1ZWYwMzRmYjVhNmUiLCJ1c2VySWQiOiI2NDQwNzQxNTQifQ==</vt:lpwstr>
  </property>
</Properties>
</file>