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360" w:lineRule="auto"/>
        <w:jc w:val="center"/>
        <w:textAlignment w:val="auto"/>
        <w:rPr>
          <w:rFonts w:hint="eastAsia" w:ascii="仿宋" w:hAnsi="仿宋" w:eastAsia="仿宋" w:cs="仿宋"/>
          <w:b/>
          <w:snapToGrid/>
          <w:color w:val="auto"/>
          <w:kern w:val="2"/>
          <w:sz w:val="44"/>
          <w:szCs w:val="44"/>
        </w:rPr>
      </w:pPr>
      <w:r>
        <w:rPr>
          <w:rFonts w:hint="eastAsia" w:ascii="仿宋" w:hAnsi="仿宋" w:eastAsia="仿宋" w:cs="仿宋"/>
          <w:b/>
          <w:snapToGrid/>
          <w:color w:val="auto"/>
          <w:kern w:val="2"/>
          <w:sz w:val="44"/>
          <w:szCs w:val="44"/>
        </w:rPr>
        <w:t>重庆望变电气（集团）股份有限公司</w:t>
      </w:r>
    </w:p>
    <w:p>
      <w:pPr>
        <w:widowControl w:val="0"/>
        <w:kinsoku/>
        <w:autoSpaceDE/>
        <w:autoSpaceDN/>
        <w:adjustRightInd/>
        <w:snapToGrid/>
        <w:spacing w:line="360" w:lineRule="auto"/>
        <w:jc w:val="center"/>
        <w:textAlignment w:val="auto"/>
        <w:rPr>
          <w:rFonts w:hint="eastAsia" w:ascii="仿宋" w:hAnsi="仿宋" w:eastAsia="仿宋" w:cs="仿宋"/>
          <w:b/>
          <w:color w:val="auto"/>
          <w:sz w:val="36"/>
          <w:szCs w:val="36"/>
        </w:rPr>
      </w:pPr>
      <w:r>
        <w:rPr>
          <w:rFonts w:hint="eastAsia" w:ascii="仿宋" w:hAnsi="仿宋" w:eastAsia="仿宋" w:cs="仿宋"/>
          <w:b/>
          <w:snapToGrid/>
          <w:color w:val="auto"/>
          <w:kern w:val="2"/>
          <w:sz w:val="44"/>
          <w:szCs w:val="44"/>
        </w:rPr>
        <w:t>202</w:t>
      </w:r>
      <w:r>
        <w:rPr>
          <w:rFonts w:ascii="仿宋" w:hAnsi="仿宋" w:eastAsia="仿宋" w:cs="仿宋"/>
          <w:b/>
          <w:snapToGrid/>
          <w:color w:val="auto"/>
          <w:kern w:val="2"/>
          <w:sz w:val="44"/>
          <w:szCs w:val="44"/>
        </w:rPr>
        <w:t>5</w:t>
      </w:r>
      <w:r>
        <w:rPr>
          <w:rFonts w:hint="eastAsia" w:ascii="仿宋" w:hAnsi="仿宋" w:eastAsia="仿宋" w:cs="仿宋"/>
          <w:b/>
          <w:snapToGrid/>
          <w:color w:val="auto"/>
          <w:kern w:val="2"/>
          <w:sz w:val="44"/>
          <w:szCs w:val="44"/>
        </w:rPr>
        <w:t>年度独立董事述职报告</w:t>
      </w:r>
    </w:p>
    <w:p>
      <w:pPr>
        <w:spacing w:line="360" w:lineRule="auto"/>
        <w:jc w:val="center"/>
        <w:rPr>
          <w:rFonts w:hint="eastAsia" w:ascii="方正仿宋_GBK" w:hAnsi="方正仿宋_GBK" w:eastAsia="方正仿宋_GBK" w:cs="方正仿宋_GBK"/>
          <w:color w:val="auto"/>
          <w:sz w:val="32"/>
          <w:szCs w:val="32"/>
        </w:rPr>
      </w:pPr>
      <w:r>
        <w:rPr>
          <w:rFonts w:hint="eastAsia" w:ascii="仿宋" w:hAnsi="仿宋" w:eastAsia="仿宋" w:cs="仿宋"/>
          <w:color w:val="auto"/>
          <w:spacing w:val="-6"/>
          <w:sz w:val="32"/>
          <w:szCs w:val="32"/>
        </w:rPr>
        <w:t>王 勇</w:t>
      </w:r>
    </w:p>
    <w:p>
      <w:pPr>
        <w:spacing w:line="360" w:lineRule="auto"/>
        <w:ind w:right="79" w:firstLine="616" w:firstLineChars="200"/>
        <w:jc w:val="both"/>
        <w:rPr>
          <w:rFonts w:hint="eastAsia" w:ascii="仿宋" w:hAnsi="仿宋" w:eastAsia="仿宋" w:cs="仿宋"/>
          <w:color w:val="auto"/>
          <w:sz w:val="32"/>
          <w:szCs w:val="32"/>
        </w:rPr>
      </w:pPr>
      <w:r>
        <w:rPr>
          <w:rFonts w:hint="eastAsia" w:ascii="仿宋" w:hAnsi="仿宋" w:eastAsia="仿宋" w:cs="仿宋"/>
          <w:color w:val="auto"/>
          <w:spacing w:val="-6"/>
          <w:sz w:val="32"/>
          <w:szCs w:val="32"/>
        </w:rPr>
        <w:t>本人自担任重庆望变电气（集团）股份有限公司(以下简称“公司”)独立董事以来，</w:t>
      </w:r>
      <w:r>
        <w:rPr>
          <w:rFonts w:hint="eastAsia" w:ascii="仿宋" w:hAnsi="仿宋" w:eastAsia="仿宋" w:cs="仿宋"/>
          <w:color w:val="auto"/>
          <w:spacing w:val="-3"/>
          <w:sz w:val="32"/>
          <w:szCs w:val="32"/>
        </w:rPr>
        <w:t>根据《中华人民共和国公司法》《中华人民共和国证券法》《上海证券交易所股票上市规则》《重庆望变电气（集团）股份有限公司章程》（以下简称“《公司章程》”）和公司《独立董事工作制度》等相关法律法规和</w:t>
      </w:r>
      <w:r>
        <w:rPr>
          <w:rFonts w:hint="eastAsia" w:ascii="仿宋" w:hAnsi="仿宋" w:eastAsia="仿宋" w:cs="仿宋"/>
          <w:color w:val="auto"/>
          <w:spacing w:val="-2"/>
          <w:sz w:val="32"/>
          <w:szCs w:val="32"/>
        </w:rPr>
        <w:t>规章制度的规定和要求，</w:t>
      </w:r>
      <w:r>
        <w:rPr>
          <w:rFonts w:hint="eastAsia" w:ascii="仿宋" w:hAnsi="仿宋" w:eastAsia="仿宋" w:cs="仿宋"/>
          <w:color w:val="auto"/>
          <w:spacing w:val="-1"/>
          <w:sz w:val="32"/>
          <w:szCs w:val="32"/>
        </w:rPr>
        <w:t>认真行使法规所</w:t>
      </w:r>
      <w:r>
        <w:rPr>
          <w:rFonts w:hint="eastAsia" w:ascii="仿宋" w:hAnsi="仿宋" w:eastAsia="仿宋" w:cs="仿宋"/>
          <w:color w:val="auto"/>
          <w:sz w:val="32"/>
          <w:szCs w:val="32"/>
        </w:rPr>
        <w:t>赋予的权利，恪尽职守、勤勉尽责，积极参加董事会、审计委员会会议及董事会组织的其他各项活动，通过与公司持续沟通，收集有关</w:t>
      </w:r>
      <w:r>
        <w:rPr>
          <w:rFonts w:hint="eastAsia" w:ascii="仿宋" w:hAnsi="仿宋" w:eastAsia="仿宋" w:cs="仿宋"/>
          <w:color w:val="auto"/>
          <w:spacing w:val="-1"/>
          <w:sz w:val="32"/>
          <w:szCs w:val="32"/>
        </w:rPr>
        <w:t>资料，积极主动了解公</w:t>
      </w:r>
      <w:r>
        <w:rPr>
          <w:rFonts w:hint="eastAsia" w:ascii="仿宋" w:hAnsi="仿宋" w:eastAsia="仿宋" w:cs="仿宋"/>
          <w:color w:val="auto"/>
          <w:sz w:val="32"/>
          <w:szCs w:val="32"/>
        </w:rPr>
        <w:t>司的生产经营和运行情况，对公司的重大决策等事项发表独立意</w:t>
      </w:r>
      <w:r>
        <w:rPr>
          <w:rFonts w:hint="eastAsia" w:ascii="仿宋" w:hAnsi="仿宋" w:eastAsia="仿宋" w:cs="仿宋"/>
          <w:color w:val="auto"/>
          <w:spacing w:val="-1"/>
          <w:sz w:val="32"/>
          <w:szCs w:val="32"/>
        </w:rPr>
        <w:t>见，维护公司的整体利</w:t>
      </w:r>
      <w:r>
        <w:rPr>
          <w:rFonts w:hint="eastAsia" w:ascii="仿宋" w:hAnsi="仿宋" w:eastAsia="仿宋" w:cs="仿宋"/>
          <w:color w:val="auto"/>
          <w:sz w:val="32"/>
          <w:szCs w:val="32"/>
        </w:rPr>
        <w:t>益，维护全体股东尤其是中小股东的合法权益，为健全和完善上</w:t>
      </w:r>
      <w:r>
        <w:rPr>
          <w:rFonts w:hint="eastAsia" w:ascii="仿宋" w:hAnsi="仿宋" w:eastAsia="仿宋" w:cs="仿宋"/>
          <w:color w:val="auto"/>
          <w:spacing w:val="-4"/>
          <w:sz w:val="32"/>
          <w:szCs w:val="32"/>
        </w:rPr>
        <w:t>市公司法人治理结构和提高董事</w:t>
      </w:r>
      <w:r>
        <w:rPr>
          <w:rFonts w:hint="eastAsia" w:ascii="仿宋" w:hAnsi="仿宋" w:eastAsia="仿宋" w:cs="仿宋"/>
          <w:color w:val="auto"/>
          <w:spacing w:val="-3"/>
          <w:sz w:val="32"/>
          <w:szCs w:val="32"/>
        </w:rPr>
        <w:t>会</w:t>
      </w:r>
      <w:r>
        <w:rPr>
          <w:rFonts w:hint="eastAsia" w:ascii="仿宋" w:hAnsi="仿宋" w:eastAsia="仿宋" w:cs="仿宋"/>
          <w:color w:val="auto"/>
          <w:spacing w:val="-2"/>
          <w:sz w:val="32"/>
          <w:szCs w:val="32"/>
        </w:rPr>
        <w:t>科学决策、依法运作做了一些工作，并能积极地为公司稳健和长远发展建言献策，提出</w:t>
      </w:r>
      <w:r>
        <w:rPr>
          <w:rFonts w:hint="eastAsia" w:ascii="仿宋" w:hAnsi="仿宋" w:eastAsia="仿宋" w:cs="仿宋"/>
          <w:color w:val="auto"/>
          <w:spacing w:val="-1"/>
          <w:sz w:val="32"/>
          <w:szCs w:val="32"/>
        </w:rPr>
        <w:t>自己的意见和建议。</w:t>
      </w:r>
    </w:p>
    <w:p>
      <w:pPr>
        <w:spacing w:line="360" w:lineRule="auto"/>
        <w:ind w:firstLine="616" w:firstLineChars="200"/>
        <w:rPr>
          <w:rFonts w:hint="eastAsia" w:ascii="方正仿宋_GBK" w:hAnsi="方正仿宋_GBK" w:eastAsia="方正仿宋_GBK" w:cs="方正仿宋_GBK"/>
          <w:color w:val="auto"/>
          <w:sz w:val="32"/>
          <w:szCs w:val="32"/>
        </w:rPr>
      </w:pPr>
      <w:r>
        <w:rPr>
          <w:rFonts w:hint="eastAsia" w:ascii="仿宋" w:hAnsi="仿宋" w:eastAsia="仿宋" w:cs="仿宋"/>
          <w:color w:val="auto"/>
          <w:spacing w:val="-6"/>
          <w:sz w:val="32"/>
          <w:szCs w:val="32"/>
        </w:rPr>
        <w:t>现</w:t>
      </w:r>
      <w:r>
        <w:rPr>
          <w:rFonts w:hint="eastAsia" w:ascii="仿宋" w:hAnsi="仿宋" w:eastAsia="仿宋" w:cs="仿宋"/>
          <w:color w:val="auto"/>
          <w:spacing w:val="-3"/>
          <w:sz w:val="32"/>
          <w:szCs w:val="32"/>
        </w:rPr>
        <w:t>将202</w:t>
      </w:r>
      <w:r>
        <w:rPr>
          <w:rFonts w:ascii="仿宋" w:hAnsi="仿宋" w:eastAsia="仿宋" w:cs="仿宋"/>
          <w:color w:val="auto"/>
          <w:spacing w:val="-3"/>
          <w:sz w:val="32"/>
          <w:szCs w:val="32"/>
        </w:rPr>
        <w:t>5</w:t>
      </w:r>
      <w:r>
        <w:rPr>
          <w:rFonts w:hint="eastAsia" w:ascii="仿宋" w:hAnsi="仿宋" w:eastAsia="仿宋" w:cs="仿宋"/>
          <w:color w:val="auto"/>
          <w:spacing w:val="-3"/>
          <w:sz w:val="32"/>
          <w:szCs w:val="32"/>
        </w:rPr>
        <w:t>年本人担任公司独立董事的工作情况报告如下：</w:t>
      </w:r>
    </w:p>
    <w:p>
      <w:pPr>
        <w:spacing w:line="360" w:lineRule="auto"/>
        <w:ind w:firstLine="604" w:firstLineChars="200"/>
        <w:outlineLvl w:val="0"/>
        <w:rPr>
          <w:rFonts w:hint="eastAsia" w:ascii="仿宋" w:hAnsi="仿宋" w:eastAsia="仿宋" w:cs="仿宋"/>
          <w:color w:val="auto"/>
          <w:sz w:val="32"/>
          <w:szCs w:val="32"/>
        </w:rPr>
      </w:pPr>
      <w:r>
        <w:rPr>
          <w:rFonts w:hint="eastAsia" w:ascii="仿宋" w:hAnsi="仿宋" w:eastAsia="仿宋" w:cs="仿宋"/>
          <w:color w:val="auto"/>
          <w:spacing w:val="-9"/>
          <w:sz w:val="32"/>
          <w:szCs w:val="32"/>
          <w14:textOutline w14:w="4356" w14:cap="flat" w14:cmpd="sng" w14:algn="ctr">
            <w14:solidFill>
              <w14:srgbClr w14:val="000000"/>
            </w14:solidFill>
            <w14:prstDash w14:val="solid"/>
            <w14:miter w14:val="0"/>
          </w14:textOutline>
        </w:rPr>
        <w:t>一、个人基本情</w:t>
      </w:r>
      <w:r>
        <w:rPr>
          <w:rFonts w:hint="eastAsia" w:ascii="仿宋" w:hAnsi="仿宋" w:eastAsia="仿宋" w:cs="仿宋"/>
          <w:color w:val="auto"/>
          <w:spacing w:val="-8"/>
          <w:sz w:val="32"/>
          <w:szCs w:val="32"/>
          <w14:textOutline w14:w="4356" w14:cap="flat" w14:cmpd="sng" w14:algn="ctr">
            <w14:solidFill>
              <w14:srgbClr w14:val="000000"/>
            </w14:solidFill>
            <w14:prstDash w14:val="solid"/>
            <w14:miter w14:val="0"/>
          </w14:textOutline>
        </w:rPr>
        <w:t>况</w:t>
      </w:r>
    </w:p>
    <w:p>
      <w:pPr>
        <w:spacing w:line="360" w:lineRule="auto"/>
        <w:ind w:right="79" w:firstLine="631" w:firstLineChars="200"/>
        <w:jc w:val="both"/>
        <w:rPr>
          <w:rFonts w:hint="eastAsia" w:ascii="仿宋" w:hAnsi="仿宋" w:eastAsia="仿宋" w:cs="仿宋"/>
          <w:b/>
          <w:bCs/>
          <w:color w:val="auto"/>
          <w:spacing w:val="-3"/>
          <w:sz w:val="32"/>
          <w:szCs w:val="32"/>
        </w:rPr>
      </w:pPr>
      <w:r>
        <w:rPr>
          <w:rFonts w:hint="eastAsia" w:ascii="仿宋" w:hAnsi="仿宋" w:eastAsia="仿宋" w:cs="仿宋"/>
          <w:b/>
          <w:bCs/>
          <w:color w:val="auto"/>
          <w:spacing w:val="-3"/>
          <w:sz w:val="32"/>
          <w:szCs w:val="32"/>
        </w:rPr>
        <w:t>（一）基本情况</w:t>
      </w:r>
    </w:p>
    <w:p>
      <w:pPr>
        <w:spacing w:line="360" w:lineRule="auto"/>
        <w:ind w:right="79" w:firstLine="628" w:firstLineChars="200"/>
        <w:jc w:val="both"/>
        <w:rPr>
          <w:rFonts w:hint="eastAsia" w:ascii="仿宋" w:hAnsi="仿宋" w:eastAsia="仿宋" w:cs="仿宋"/>
          <w:color w:val="auto"/>
          <w:sz w:val="32"/>
          <w:szCs w:val="32"/>
        </w:rPr>
      </w:pPr>
      <w:r>
        <w:rPr>
          <w:rFonts w:hint="eastAsia" w:ascii="仿宋" w:hAnsi="仿宋" w:eastAsia="仿宋" w:cs="仿宋"/>
          <w:color w:val="auto"/>
          <w:spacing w:val="-3"/>
          <w:sz w:val="32"/>
          <w:szCs w:val="32"/>
        </w:rPr>
        <w:t>本人个人工作履历、专业背景及任职情况如下：</w:t>
      </w:r>
      <w:r>
        <w:rPr>
          <w:rFonts w:hint="eastAsia" w:ascii="仿宋" w:hAnsi="仿宋" w:eastAsia="仿宋" w:cs="仿宋"/>
          <w:bCs/>
          <w:color w:val="auto"/>
          <w:spacing w:val="-4"/>
          <w:sz w:val="32"/>
          <w:szCs w:val="32"/>
        </w:rPr>
        <w:t>王勇</w:t>
      </w:r>
      <w:r>
        <w:rPr>
          <w:rFonts w:hint="eastAsia" w:ascii="仿宋" w:hAnsi="仿宋" w:eastAsia="仿宋" w:cs="仿宋"/>
          <w:color w:val="auto"/>
          <w:spacing w:val="-4"/>
          <w:sz w:val="32"/>
          <w:szCs w:val="32"/>
        </w:rPr>
        <w:t>，男，1973年出生，中国国籍，无境外永久居留权，研究生学历，会计硕士、工</w:t>
      </w:r>
      <w:r>
        <w:rPr>
          <w:rFonts w:hint="eastAsia" w:ascii="仿宋" w:hAnsi="仿宋" w:eastAsia="仿宋" w:cs="仿宋"/>
          <w:color w:val="auto"/>
          <w:sz w:val="32"/>
          <w:szCs w:val="32"/>
        </w:rPr>
        <w:t>商管理硕士，中国注册会计师（资深会员）、资产评估师、税务师、法律职业资格，正高级会计师、正高级经济师、正高级审计师职称。1995年7月至2001年1月，在重庆益弘工程塑料制品有限公司任会计；2001年1月至2009年12月，先后在重庆金汇会计师事务所有限责任公司审计五部任项目经理、部门副经理；2009年12月至2011年12月，在中瑞岳华会计师事务所重庆分所任审计四部部门经理；2012年1月至今，先后在重庆海平会计师事务所有限公司任副总经理、主任会计师，同时在重庆海安税务师事务所有限责任公司担任注册税务师；</w:t>
      </w:r>
      <w:r>
        <w:rPr>
          <w:rFonts w:ascii="仿宋" w:hAnsi="仿宋" w:eastAsia="仿宋" w:cs="仿宋"/>
          <w:color w:val="auto"/>
          <w:sz w:val="32"/>
          <w:szCs w:val="32"/>
        </w:rPr>
        <w:t>2023</w:t>
      </w:r>
      <w:r>
        <w:rPr>
          <w:rFonts w:hint="eastAsia" w:ascii="仿宋" w:hAnsi="仿宋" w:eastAsia="仿宋" w:cs="仿宋"/>
          <w:color w:val="auto"/>
          <w:sz w:val="32"/>
          <w:szCs w:val="32"/>
        </w:rPr>
        <w:t>年</w:t>
      </w:r>
      <w:r>
        <w:rPr>
          <w:rFonts w:ascii="仿宋" w:hAnsi="仿宋" w:eastAsia="仿宋" w:cs="仿宋"/>
          <w:color w:val="auto"/>
          <w:sz w:val="32"/>
          <w:szCs w:val="32"/>
        </w:rPr>
        <w:t>11</w:t>
      </w:r>
      <w:r>
        <w:rPr>
          <w:rFonts w:hint="eastAsia" w:ascii="仿宋" w:hAnsi="仿宋" w:eastAsia="仿宋" w:cs="仿宋"/>
          <w:color w:val="auto"/>
          <w:sz w:val="32"/>
          <w:szCs w:val="32"/>
        </w:rPr>
        <w:t>月至今，在望变电气任独立董事。</w:t>
      </w:r>
    </w:p>
    <w:p>
      <w:pPr>
        <w:numPr>
          <w:ilvl w:val="0"/>
          <w:numId w:val="1"/>
        </w:numPr>
        <w:spacing w:line="360" w:lineRule="auto"/>
        <w:ind w:right="127" w:firstLine="627" w:firstLineChars="200"/>
        <w:jc w:val="both"/>
        <w:rPr>
          <w:rFonts w:hint="eastAsia" w:ascii="仿宋" w:hAnsi="仿宋" w:eastAsia="仿宋" w:cs="仿宋"/>
          <w:b/>
          <w:bCs/>
          <w:color w:val="auto"/>
          <w:spacing w:val="-4"/>
          <w:sz w:val="32"/>
          <w:szCs w:val="32"/>
        </w:rPr>
      </w:pPr>
      <w:r>
        <w:rPr>
          <w:rFonts w:hint="eastAsia" w:ascii="仿宋" w:hAnsi="仿宋" w:eastAsia="仿宋" w:cs="仿宋"/>
          <w:b/>
          <w:bCs/>
          <w:color w:val="auto"/>
          <w:spacing w:val="-4"/>
          <w:sz w:val="32"/>
          <w:szCs w:val="32"/>
        </w:rPr>
        <w:t>独立性情况</w:t>
      </w:r>
    </w:p>
    <w:p>
      <w:pPr>
        <w:spacing w:line="360" w:lineRule="auto"/>
        <w:ind w:right="127" w:firstLine="624" w:firstLineChars="200"/>
        <w:jc w:val="both"/>
        <w:rPr>
          <w:rFonts w:hint="eastAsia" w:ascii="仿宋" w:hAnsi="仿宋" w:eastAsia="仿宋" w:cs="仿宋"/>
          <w:color w:val="auto"/>
          <w:spacing w:val="-4"/>
          <w:sz w:val="32"/>
          <w:szCs w:val="32"/>
        </w:rPr>
      </w:pPr>
      <w:r>
        <w:rPr>
          <w:rFonts w:hint="eastAsia" w:ascii="仿宋" w:hAnsi="仿宋" w:eastAsia="仿宋" w:cs="仿宋"/>
          <w:color w:val="auto"/>
          <w:spacing w:val="-4"/>
          <w:sz w:val="32"/>
          <w:szCs w:val="32"/>
        </w:rPr>
        <w:t>本人严格遵守《公司法》、《证券法》、《上市公司治理准则》、《上市公司独立董事管理办法》等法律法规以及《公司章程》对独立董事的任职要求，持续保持着独立性。</w:t>
      </w:r>
    </w:p>
    <w:p>
      <w:pPr>
        <w:spacing w:line="360" w:lineRule="auto"/>
        <w:ind w:right="127" w:firstLine="624"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4"/>
          <w:sz w:val="32"/>
          <w:szCs w:val="32"/>
        </w:rPr>
        <w:t>作为公司</w:t>
      </w:r>
      <w:r>
        <w:rPr>
          <w:rFonts w:hint="eastAsia" w:ascii="仿宋" w:hAnsi="仿宋" w:eastAsia="仿宋" w:cs="仿宋"/>
          <w:color w:val="auto"/>
          <w:spacing w:val="-9"/>
          <w:sz w:val="32"/>
          <w:szCs w:val="32"/>
        </w:rPr>
        <w:t>的独立董事，本人及直系亲属均不持有本公司股份，本人不在公</w:t>
      </w:r>
      <w:r>
        <w:rPr>
          <w:rFonts w:hint="eastAsia" w:ascii="仿宋" w:hAnsi="仿宋" w:eastAsia="仿宋" w:cs="仿宋"/>
          <w:color w:val="auto"/>
          <w:spacing w:val="-16"/>
          <w:sz w:val="32"/>
          <w:szCs w:val="32"/>
        </w:rPr>
        <w:t>司担任</w:t>
      </w:r>
      <w:r>
        <w:rPr>
          <w:rFonts w:hint="eastAsia" w:ascii="仿宋" w:hAnsi="仿宋" w:eastAsia="仿宋" w:cs="仿宋"/>
          <w:color w:val="auto"/>
          <w:spacing w:val="-10"/>
          <w:sz w:val="32"/>
          <w:szCs w:val="32"/>
        </w:rPr>
        <w:t>除</w:t>
      </w:r>
      <w:r>
        <w:rPr>
          <w:rFonts w:hint="eastAsia" w:ascii="仿宋" w:hAnsi="仿宋" w:eastAsia="仿宋" w:cs="仿宋"/>
          <w:color w:val="auto"/>
          <w:spacing w:val="-8"/>
          <w:sz w:val="32"/>
          <w:szCs w:val="32"/>
        </w:rPr>
        <w:t>独立董事以外的其他任何职务，也不在公司股东单位担任任何职务，与公司及公司</w:t>
      </w:r>
      <w:r>
        <w:rPr>
          <w:rFonts w:hint="eastAsia" w:ascii="仿宋" w:hAnsi="仿宋" w:eastAsia="仿宋" w:cs="仿宋"/>
          <w:color w:val="auto"/>
          <w:spacing w:val="-10"/>
          <w:sz w:val="32"/>
          <w:szCs w:val="32"/>
        </w:rPr>
        <w:t>股东或有利</w:t>
      </w:r>
      <w:r>
        <w:rPr>
          <w:rFonts w:hint="eastAsia" w:ascii="仿宋" w:hAnsi="仿宋" w:eastAsia="仿宋" w:cs="仿宋"/>
          <w:color w:val="auto"/>
          <w:spacing w:val="-8"/>
          <w:sz w:val="32"/>
          <w:szCs w:val="32"/>
        </w:rPr>
        <w:t>害</w:t>
      </w:r>
      <w:r>
        <w:rPr>
          <w:rFonts w:hint="eastAsia" w:ascii="仿宋" w:hAnsi="仿宋" w:eastAsia="仿宋" w:cs="仿宋"/>
          <w:color w:val="auto"/>
          <w:spacing w:val="-5"/>
          <w:sz w:val="32"/>
          <w:szCs w:val="32"/>
        </w:rPr>
        <w:t>关系的机构和人员不存在可能妨碍本人进行独立客观判断的关系，没有从</w:t>
      </w:r>
      <w:r>
        <w:rPr>
          <w:rFonts w:hint="eastAsia" w:ascii="仿宋" w:hAnsi="仿宋" w:eastAsia="仿宋" w:cs="仿宋"/>
          <w:color w:val="auto"/>
          <w:spacing w:val="-4"/>
          <w:sz w:val="32"/>
          <w:szCs w:val="32"/>
        </w:rPr>
        <w:t>公司及公司股东或有利害关系的</w:t>
      </w:r>
      <w:r>
        <w:rPr>
          <w:rFonts w:hint="eastAsia" w:ascii="仿宋" w:hAnsi="仿宋" w:eastAsia="仿宋" w:cs="仿宋"/>
          <w:color w:val="auto"/>
          <w:spacing w:val="-3"/>
          <w:sz w:val="32"/>
          <w:szCs w:val="32"/>
        </w:rPr>
        <w:t>机</w:t>
      </w:r>
      <w:r>
        <w:rPr>
          <w:rFonts w:hint="eastAsia" w:ascii="仿宋" w:hAnsi="仿宋" w:eastAsia="仿宋" w:cs="仿宋"/>
          <w:color w:val="auto"/>
          <w:spacing w:val="-2"/>
          <w:sz w:val="32"/>
          <w:szCs w:val="32"/>
        </w:rPr>
        <w:t>构和人员取得额外的、未予披露的其他利益。</w:t>
      </w:r>
    </w:p>
    <w:p>
      <w:pPr>
        <w:spacing w:line="360" w:lineRule="auto"/>
        <w:ind w:right="127"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本人定期开展独立董事独立性自查，确保持续独立履职，不受公司及其主要股东、实际控制人影响。根据自查，本人</w:t>
      </w:r>
      <w:r>
        <w:rPr>
          <w:rFonts w:hint="eastAsia" w:ascii="仿宋" w:hAnsi="仿宋" w:eastAsia="仿宋" w:cs="仿宋"/>
          <w:color w:val="auto"/>
          <w:spacing w:val="-3"/>
          <w:sz w:val="32"/>
          <w:szCs w:val="32"/>
        </w:rPr>
        <w:t>不存在影响独立性的情况</w:t>
      </w:r>
      <w:r>
        <w:rPr>
          <w:rFonts w:hint="eastAsia" w:ascii="仿宋" w:hAnsi="仿宋" w:eastAsia="仿宋" w:cs="仿宋"/>
          <w:color w:val="auto"/>
          <w:spacing w:val="-2"/>
          <w:sz w:val="32"/>
          <w:szCs w:val="32"/>
        </w:rPr>
        <w:t>。</w:t>
      </w:r>
    </w:p>
    <w:p>
      <w:pPr>
        <w:pStyle w:val="11"/>
        <w:numPr>
          <w:ilvl w:val="0"/>
          <w:numId w:val="2"/>
        </w:numPr>
        <w:spacing w:line="360" w:lineRule="auto"/>
        <w:ind w:firstLineChars="0"/>
        <w:outlineLvl w:val="0"/>
        <w:rPr>
          <w:rFonts w:hint="eastAsia" w:ascii="仿宋" w:hAnsi="仿宋" w:eastAsia="仿宋" w:cs="仿宋"/>
          <w:color w:val="auto"/>
          <w:sz w:val="32"/>
          <w:szCs w:val="32"/>
        </w:rPr>
      </w:pPr>
      <w:r>
        <w:rPr>
          <w:rFonts w:hint="eastAsia" w:ascii="仿宋" w:hAnsi="仿宋" w:eastAsia="仿宋" w:cs="仿宋"/>
          <w:color w:val="auto"/>
          <w:sz w:val="32"/>
          <w:szCs w:val="32"/>
          <w14:textOutline w14:w="4356" w14:cap="flat" w14:cmpd="sng" w14:algn="ctr">
            <w14:solidFill>
              <w14:srgbClr w14:val="000000"/>
            </w14:solidFill>
            <w14:prstDash w14:val="solid"/>
            <w14:miter w14:val="0"/>
          </w14:textOutline>
        </w:rPr>
        <w:t>202</w:t>
      </w:r>
      <w:r>
        <w:rPr>
          <w:rFonts w:ascii="仿宋" w:hAnsi="仿宋" w:eastAsia="仿宋" w:cs="仿宋"/>
          <w:color w:val="auto"/>
          <w:sz w:val="32"/>
          <w:szCs w:val="32"/>
          <w14:textOutline w14:w="4356" w14:cap="flat" w14:cmpd="sng" w14:algn="ctr">
            <w14:solidFill>
              <w14:srgbClr w14:val="000000"/>
            </w14:solidFill>
            <w14:prstDash w14:val="solid"/>
            <w14:miter w14:val="0"/>
          </w14:textOutline>
        </w:rPr>
        <w:t>5</w:t>
      </w:r>
      <w:r>
        <w:rPr>
          <w:rFonts w:hint="eastAsia" w:ascii="仿宋" w:hAnsi="仿宋" w:eastAsia="仿宋" w:cs="仿宋"/>
          <w:color w:val="auto"/>
          <w:sz w:val="32"/>
          <w:szCs w:val="32"/>
          <w14:textOutline w14:w="4356" w14:cap="flat" w14:cmpd="sng" w14:algn="ctr">
            <w14:solidFill>
              <w14:srgbClr w14:val="000000"/>
            </w14:solidFill>
            <w14:prstDash w14:val="solid"/>
            <w14:miter w14:val="0"/>
          </w14:textOutline>
        </w:rPr>
        <w:t>年度履职情况</w:t>
      </w:r>
    </w:p>
    <w:p>
      <w:pPr>
        <w:numPr>
          <w:ilvl w:val="0"/>
          <w:numId w:val="3"/>
        </w:numPr>
        <w:spacing w:line="360" w:lineRule="auto"/>
        <w:ind w:right="127" w:firstLine="647" w:firstLineChars="200"/>
        <w:jc w:val="both"/>
        <w:rPr>
          <w:rFonts w:hint="eastAsia" w:ascii="仿宋" w:hAnsi="仿宋" w:eastAsia="仿宋" w:cs="仿宋"/>
          <w:color w:val="auto"/>
          <w:sz w:val="32"/>
          <w:szCs w:val="32"/>
        </w:rPr>
      </w:pPr>
      <w:r>
        <w:rPr>
          <w:rFonts w:hint="eastAsia" w:ascii="仿宋" w:hAnsi="仿宋" w:eastAsia="仿宋" w:cs="仿宋"/>
          <w:b/>
          <w:bCs/>
          <w:color w:val="auto"/>
          <w:spacing w:val="1"/>
          <w:sz w:val="32"/>
          <w:szCs w:val="32"/>
        </w:rPr>
        <w:t>出席董事会、股东会的情况</w:t>
      </w:r>
    </w:p>
    <w:tbl>
      <w:tblPr>
        <w:tblStyle w:val="8"/>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77"/>
        <w:gridCol w:w="1138"/>
        <w:gridCol w:w="883"/>
        <w:gridCol w:w="1003"/>
        <w:gridCol w:w="938"/>
        <w:gridCol w:w="875"/>
        <w:gridCol w:w="1341"/>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sdt>
          <w:sdtPr>
            <w:rPr>
              <w:rFonts w:hint="eastAsia" w:ascii="仿宋" w:hAnsi="仿宋" w:eastAsia="仿宋" w:cs="仿宋"/>
              <w:color w:val="auto"/>
              <w:sz w:val="24"/>
              <w:szCs w:val="24"/>
            </w:rPr>
            <w:tag w:val="_PLD_fdf987702b2e46a4aaa1e3f20787a76c"/>
            <w:id w:val="419915968"/>
            <w:lock w:val="sdtLocked"/>
          </w:sdtPr>
          <w:sdtEndPr>
            <w:rPr>
              <w:rFonts w:hint="eastAsia" w:ascii="仿宋" w:hAnsi="仿宋" w:eastAsia="仿宋" w:cs="仿宋"/>
              <w:color w:val="auto"/>
              <w:sz w:val="24"/>
              <w:szCs w:val="24"/>
            </w:rPr>
          </w:sdtEndPr>
          <w:sdtContent>
            <w:tc>
              <w:tcPr>
                <w:tcW w:w="817" w:type="dxa"/>
                <w:vMerge w:val="restart"/>
                <w:vAlign w:val="center"/>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董事姓名</w:t>
                </w:r>
              </w:p>
            </w:tc>
          </w:sdtContent>
        </w:sdt>
        <w:sdt>
          <w:sdtPr>
            <w:rPr>
              <w:rFonts w:hint="eastAsia" w:ascii="仿宋" w:hAnsi="仿宋" w:eastAsia="仿宋" w:cs="仿宋"/>
              <w:color w:val="auto"/>
              <w:sz w:val="24"/>
              <w:szCs w:val="24"/>
            </w:rPr>
            <w:tag w:val="_PLD_8c944f740a3a4784938038ab19e3a6ed"/>
            <w:id w:val="-259754918"/>
            <w:lock w:val="sdtLocked"/>
          </w:sdtPr>
          <w:sdtEndPr>
            <w:rPr>
              <w:rFonts w:hint="eastAsia" w:ascii="仿宋" w:hAnsi="仿宋" w:eastAsia="仿宋" w:cs="仿宋"/>
              <w:color w:val="auto"/>
              <w:sz w:val="24"/>
              <w:szCs w:val="24"/>
            </w:rPr>
          </w:sdtEndPr>
          <w:sdtContent>
            <w:tc>
              <w:tcPr>
                <w:tcW w:w="1077" w:type="dxa"/>
                <w:vMerge w:val="restart"/>
                <w:vAlign w:val="center"/>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是否独立董事</w:t>
                </w:r>
              </w:p>
            </w:tc>
          </w:sdtContent>
        </w:sdt>
        <w:sdt>
          <w:sdtPr>
            <w:rPr>
              <w:rFonts w:hint="eastAsia" w:ascii="仿宋" w:hAnsi="仿宋" w:eastAsia="仿宋" w:cs="仿宋"/>
              <w:color w:val="auto"/>
              <w:sz w:val="24"/>
              <w:szCs w:val="24"/>
            </w:rPr>
            <w:tag w:val="_PLD_41002b55426142459adadb76d790d586"/>
            <w:id w:val="-26868293"/>
            <w:lock w:val="sdtLocked"/>
          </w:sdtPr>
          <w:sdtEndPr>
            <w:rPr>
              <w:rFonts w:hint="eastAsia" w:ascii="仿宋" w:hAnsi="仿宋" w:eastAsia="仿宋" w:cs="仿宋"/>
              <w:color w:val="auto"/>
              <w:sz w:val="24"/>
              <w:szCs w:val="24"/>
            </w:rPr>
          </w:sdtEndPr>
          <w:sdtContent>
            <w:tc>
              <w:tcPr>
                <w:tcW w:w="6178" w:type="dxa"/>
                <w:gridSpan w:val="6"/>
                <w:vAlign w:val="center"/>
              </w:tcPr>
              <w:p>
                <w:pPr>
                  <w:widowControl w:val="0"/>
                  <w:kinsoku/>
                  <w:autoSpaceDE/>
                  <w:autoSpaceDN/>
                  <w:adjustRightInd/>
                  <w:snapToGrid/>
                  <w:spacing w:line="360" w:lineRule="auto"/>
                  <w:ind w:firstLine="480"/>
                  <w:jc w:val="center"/>
                  <w:textAlignment w:val="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参加董事会情况</w:t>
                </w:r>
              </w:p>
            </w:tc>
          </w:sdtContent>
        </w:sdt>
        <w:sdt>
          <w:sdtPr>
            <w:rPr>
              <w:rFonts w:hint="eastAsia" w:ascii="仿宋" w:hAnsi="仿宋" w:eastAsia="仿宋" w:cs="仿宋"/>
              <w:color w:val="auto"/>
              <w:sz w:val="24"/>
              <w:szCs w:val="24"/>
            </w:rPr>
            <w:tag w:val="_PLD_a86ab0ba65874193bf46821cd6a13f4f"/>
            <w:id w:val="334508182"/>
            <w:lock w:val="sdtLocked"/>
          </w:sdtPr>
          <w:sdtEndPr>
            <w:rPr>
              <w:rFonts w:hint="eastAsia" w:ascii="仿宋" w:hAnsi="仿宋" w:eastAsia="仿宋" w:cs="仿宋"/>
              <w:color w:val="auto"/>
              <w:sz w:val="24"/>
              <w:szCs w:val="24"/>
            </w:rPr>
          </w:sdtEndPr>
          <w:sdtContent>
            <w:tc>
              <w:tcPr>
                <w:tcW w:w="1305" w:type="dxa"/>
                <w:vAlign w:val="center"/>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参加股东会情况</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817" w:type="dxa"/>
            <w:vMerge w:val="continue"/>
          </w:tcPr>
          <w:p>
            <w:pPr>
              <w:widowControl w:val="0"/>
              <w:kinsoku/>
              <w:autoSpaceDE/>
              <w:autoSpaceDN/>
              <w:adjustRightInd/>
              <w:snapToGrid/>
              <w:spacing w:line="360" w:lineRule="auto"/>
              <w:ind w:firstLine="472"/>
              <w:jc w:val="center"/>
              <w:textAlignment w:val="auto"/>
              <w:rPr>
                <w:rFonts w:hint="eastAsia" w:ascii="仿宋" w:hAnsi="仿宋" w:eastAsia="仿宋" w:cs="仿宋"/>
                <w:snapToGrid/>
                <w:color w:val="auto"/>
                <w:sz w:val="24"/>
                <w:szCs w:val="24"/>
              </w:rPr>
            </w:pPr>
          </w:p>
        </w:tc>
        <w:tc>
          <w:tcPr>
            <w:tcW w:w="1077" w:type="dxa"/>
            <w:vMerge w:val="continue"/>
          </w:tcPr>
          <w:p>
            <w:pPr>
              <w:widowControl w:val="0"/>
              <w:kinsoku/>
              <w:autoSpaceDE/>
              <w:autoSpaceDN/>
              <w:adjustRightInd/>
              <w:snapToGrid/>
              <w:spacing w:line="360" w:lineRule="auto"/>
              <w:ind w:firstLine="472"/>
              <w:jc w:val="center"/>
              <w:textAlignment w:val="auto"/>
              <w:rPr>
                <w:rFonts w:hint="eastAsia" w:ascii="仿宋" w:hAnsi="仿宋" w:eastAsia="仿宋" w:cs="仿宋"/>
                <w:snapToGrid/>
                <w:color w:val="auto"/>
                <w:sz w:val="24"/>
                <w:szCs w:val="24"/>
              </w:rPr>
            </w:pPr>
          </w:p>
        </w:tc>
        <w:sdt>
          <w:sdtPr>
            <w:rPr>
              <w:rFonts w:hint="eastAsia" w:ascii="仿宋" w:hAnsi="仿宋" w:eastAsia="仿宋" w:cs="仿宋"/>
              <w:color w:val="auto"/>
              <w:sz w:val="24"/>
              <w:szCs w:val="24"/>
            </w:rPr>
            <w:tag w:val="_PLD_1be3bc3a3d894e22b017b70a7c691233"/>
            <w:id w:val="1266888258"/>
            <w:lock w:val="sdtLocked"/>
          </w:sdtPr>
          <w:sdtEndPr>
            <w:rPr>
              <w:rFonts w:hint="eastAsia" w:ascii="仿宋" w:hAnsi="仿宋" w:eastAsia="仿宋" w:cs="仿宋"/>
              <w:color w:val="auto"/>
              <w:sz w:val="24"/>
              <w:szCs w:val="24"/>
            </w:rPr>
          </w:sdtEndPr>
          <w:sdtContent>
            <w:tc>
              <w:tcPr>
                <w:tcW w:w="1138" w:type="dxa"/>
                <w:vAlign w:val="center"/>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本年应参加董事会次数</w:t>
                </w:r>
              </w:p>
            </w:tc>
          </w:sdtContent>
        </w:sdt>
        <w:sdt>
          <w:sdtPr>
            <w:rPr>
              <w:rFonts w:hint="eastAsia" w:ascii="仿宋" w:hAnsi="仿宋" w:eastAsia="仿宋" w:cs="仿宋"/>
              <w:color w:val="auto"/>
              <w:sz w:val="24"/>
              <w:szCs w:val="24"/>
            </w:rPr>
            <w:tag w:val="_PLD_3e45fc9802f241cb8e17735983417e9b"/>
            <w:id w:val="-362371327"/>
            <w:lock w:val="sdtLocked"/>
          </w:sdtPr>
          <w:sdtEndPr>
            <w:rPr>
              <w:rFonts w:hint="eastAsia" w:ascii="仿宋" w:hAnsi="仿宋" w:eastAsia="仿宋" w:cs="仿宋"/>
              <w:color w:val="auto"/>
              <w:sz w:val="24"/>
              <w:szCs w:val="24"/>
            </w:rPr>
          </w:sdtEndPr>
          <w:sdtContent>
            <w:tc>
              <w:tcPr>
                <w:tcW w:w="883" w:type="dxa"/>
                <w:vAlign w:val="center"/>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亲自出席次数</w:t>
                </w:r>
              </w:p>
            </w:tc>
          </w:sdtContent>
        </w:sdt>
        <w:sdt>
          <w:sdtPr>
            <w:rPr>
              <w:rFonts w:hint="eastAsia" w:ascii="仿宋" w:hAnsi="仿宋" w:eastAsia="仿宋" w:cs="仿宋"/>
              <w:color w:val="auto"/>
              <w:sz w:val="24"/>
              <w:szCs w:val="24"/>
            </w:rPr>
            <w:tag w:val="_PLD_5b2f1e699fe34def868fe8b765d768ba"/>
            <w:id w:val="1020672869"/>
            <w:lock w:val="sdtLocked"/>
          </w:sdtPr>
          <w:sdtEndPr>
            <w:rPr>
              <w:rFonts w:hint="eastAsia" w:ascii="仿宋" w:hAnsi="仿宋" w:eastAsia="仿宋" w:cs="仿宋"/>
              <w:color w:val="auto"/>
              <w:sz w:val="24"/>
              <w:szCs w:val="24"/>
            </w:rPr>
          </w:sdtEndPr>
          <w:sdtContent>
            <w:tc>
              <w:tcPr>
                <w:tcW w:w="1003" w:type="dxa"/>
                <w:vAlign w:val="center"/>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以通讯方式参加次数</w:t>
                </w:r>
              </w:p>
            </w:tc>
          </w:sdtContent>
        </w:sdt>
        <w:sdt>
          <w:sdtPr>
            <w:rPr>
              <w:rFonts w:hint="eastAsia" w:ascii="仿宋" w:hAnsi="仿宋" w:eastAsia="仿宋" w:cs="仿宋"/>
              <w:color w:val="auto"/>
              <w:sz w:val="24"/>
              <w:szCs w:val="24"/>
            </w:rPr>
            <w:tag w:val="_PLD_981a0cb863d94703a5482c1ca67d4cb5"/>
            <w:id w:val="-188675750"/>
            <w:lock w:val="sdtLocked"/>
          </w:sdtPr>
          <w:sdtEndPr>
            <w:rPr>
              <w:rFonts w:hint="eastAsia" w:ascii="仿宋" w:hAnsi="仿宋" w:eastAsia="仿宋" w:cs="仿宋"/>
              <w:color w:val="auto"/>
              <w:sz w:val="24"/>
              <w:szCs w:val="24"/>
            </w:rPr>
          </w:sdtEndPr>
          <w:sdtContent>
            <w:tc>
              <w:tcPr>
                <w:tcW w:w="938" w:type="dxa"/>
                <w:vAlign w:val="center"/>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委托出席次数</w:t>
                </w:r>
              </w:p>
            </w:tc>
          </w:sdtContent>
        </w:sdt>
        <w:sdt>
          <w:sdtPr>
            <w:rPr>
              <w:rFonts w:hint="eastAsia" w:ascii="仿宋" w:hAnsi="仿宋" w:eastAsia="仿宋" w:cs="仿宋"/>
              <w:color w:val="auto"/>
              <w:sz w:val="24"/>
              <w:szCs w:val="24"/>
            </w:rPr>
            <w:tag w:val="_PLD_e955143b8973461bb11aa6e64e6bb542"/>
            <w:id w:val="183567938"/>
            <w:lock w:val="sdtLocked"/>
          </w:sdtPr>
          <w:sdtEndPr>
            <w:rPr>
              <w:rFonts w:hint="eastAsia" w:ascii="仿宋" w:hAnsi="仿宋" w:eastAsia="仿宋" w:cs="仿宋"/>
              <w:color w:val="auto"/>
              <w:sz w:val="24"/>
              <w:szCs w:val="24"/>
            </w:rPr>
          </w:sdtEndPr>
          <w:sdtContent>
            <w:tc>
              <w:tcPr>
                <w:tcW w:w="875" w:type="dxa"/>
                <w:vAlign w:val="center"/>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缺席次数</w:t>
                </w:r>
              </w:p>
            </w:tc>
          </w:sdtContent>
        </w:sdt>
        <w:sdt>
          <w:sdtPr>
            <w:rPr>
              <w:rFonts w:hint="eastAsia" w:ascii="仿宋" w:hAnsi="仿宋" w:eastAsia="仿宋" w:cs="仿宋"/>
              <w:color w:val="auto"/>
              <w:sz w:val="24"/>
              <w:szCs w:val="24"/>
            </w:rPr>
            <w:tag w:val="_PLD_c94de7a455d94af5b8ffe4cc736c4b46"/>
            <w:id w:val="1450975485"/>
            <w:lock w:val="sdtLocked"/>
          </w:sdtPr>
          <w:sdtEndPr>
            <w:rPr>
              <w:rFonts w:hint="eastAsia" w:ascii="仿宋" w:hAnsi="仿宋" w:eastAsia="仿宋" w:cs="仿宋"/>
              <w:color w:val="auto"/>
              <w:sz w:val="24"/>
              <w:szCs w:val="24"/>
            </w:rPr>
          </w:sdtEndPr>
          <w:sdtContent>
            <w:tc>
              <w:tcPr>
                <w:tcW w:w="1341" w:type="dxa"/>
                <w:vAlign w:val="center"/>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是否连续两次未亲自参加会议</w:t>
                </w:r>
              </w:p>
            </w:tc>
          </w:sdtContent>
        </w:sdt>
        <w:sdt>
          <w:sdtPr>
            <w:rPr>
              <w:rFonts w:hint="eastAsia" w:ascii="仿宋" w:hAnsi="仿宋" w:eastAsia="仿宋" w:cs="仿宋"/>
              <w:color w:val="auto"/>
              <w:sz w:val="24"/>
              <w:szCs w:val="24"/>
            </w:rPr>
            <w:tag w:val="_PLD_7f17c2a5ff9540709fafff9460b0756d"/>
            <w:id w:val="-956106833"/>
            <w:lock w:val="sdtLocked"/>
          </w:sdtPr>
          <w:sdtEndPr>
            <w:rPr>
              <w:rFonts w:hint="eastAsia" w:ascii="仿宋" w:hAnsi="仿宋" w:eastAsia="仿宋" w:cs="仿宋"/>
              <w:color w:val="auto"/>
              <w:sz w:val="24"/>
              <w:szCs w:val="24"/>
            </w:rPr>
          </w:sdtEndPr>
          <w:sdtContent>
            <w:tc>
              <w:tcPr>
                <w:tcW w:w="1305" w:type="dxa"/>
                <w:vAlign w:val="center"/>
              </w:tcPr>
              <w:p>
                <w:pPr>
                  <w:widowControl w:val="0"/>
                  <w:kinsoku/>
                  <w:autoSpaceDE/>
                  <w:autoSpaceDN/>
                  <w:adjustRightInd/>
                  <w:snapToGrid/>
                  <w:spacing w:line="360" w:lineRule="auto"/>
                  <w:jc w:val="center"/>
                  <w:textAlignment w:val="auto"/>
                  <w:rPr>
                    <w:rFonts w:hint="eastAsia" w:ascii="仿宋" w:hAnsi="仿宋" w:eastAsia="仿宋" w:cs="仿宋"/>
                    <w:b/>
                    <w:snapToGrid/>
                    <w:color w:val="auto"/>
                    <w:sz w:val="24"/>
                    <w:szCs w:val="24"/>
                  </w:rPr>
                </w:pPr>
                <w:r>
                  <w:rPr>
                    <w:rFonts w:hint="eastAsia" w:ascii="仿宋" w:hAnsi="仿宋" w:eastAsia="仿宋" w:cs="仿宋"/>
                    <w:snapToGrid/>
                    <w:color w:val="auto"/>
                    <w:sz w:val="24"/>
                    <w:szCs w:val="24"/>
                  </w:rPr>
                  <w:t>出席股东会的次数</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7" w:type="dxa"/>
          </w:tcPr>
          <w:p>
            <w:pPr>
              <w:widowControl w:val="0"/>
              <w:kinsoku/>
              <w:autoSpaceDE/>
              <w:autoSpaceDN/>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王勇</w:t>
            </w:r>
          </w:p>
        </w:tc>
        <w:tc>
          <w:tcPr>
            <w:tcW w:w="1077" w:type="dxa"/>
          </w:tcPr>
          <w:p>
            <w:pPr>
              <w:widowControl w:val="0"/>
              <w:kinsoku/>
              <w:autoSpaceDE/>
              <w:autoSpaceDN/>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是</w:t>
            </w:r>
          </w:p>
        </w:tc>
        <w:tc>
          <w:tcPr>
            <w:tcW w:w="1138" w:type="dxa"/>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ascii="仿宋" w:hAnsi="仿宋" w:eastAsia="仿宋" w:cs="仿宋"/>
                <w:snapToGrid/>
                <w:color w:val="auto"/>
                <w:sz w:val="24"/>
                <w:szCs w:val="24"/>
              </w:rPr>
              <w:t>6</w:t>
            </w:r>
          </w:p>
        </w:tc>
        <w:tc>
          <w:tcPr>
            <w:tcW w:w="883" w:type="dxa"/>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ascii="仿宋" w:hAnsi="仿宋" w:eastAsia="仿宋" w:cs="仿宋"/>
                <w:snapToGrid/>
                <w:color w:val="auto"/>
                <w:sz w:val="24"/>
                <w:szCs w:val="24"/>
              </w:rPr>
              <w:t>6</w:t>
            </w:r>
          </w:p>
        </w:tc>
        <w:tc>
          <w:tcPr>
            <w:tcW w:w="1003" w:type="dxa"/>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ascii="仿宋" w:hAnsi="仿宋" w:eastAsia="仿宋" w:cs="仿宋"/>
                <w:snapToGrid/>
                <w:color w:val="auto"/>
                <w:sz w:val="24"/>
                <w:szCs w:val="24"/>
              </w:rPr>
              <w:t>6</w:t>
            </w:r>
          </w:p>
        </w:tc>
        <w:tc>
          <w:tcPr>
            <w:tcW w:w="938" w:type="dxa"/>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0</w:t>
            </w:r>
          </w:p>
        </w:tc>
        <w:tc>
          <w:tcPr>
            <w:tcW w:w="875" w:type="dxa"/>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0</w:t>
            </w:r>
          </w:p>
        </w:tc>
        <w:tc>
          <w:tcPr>
            <w:tcW w:w="1341" w:type="dxa"/>
          </w:tcPr>
          <w:p>
            <w:pPr>
              <w:widowControl w:val="0"/>
              <w:kinsoku/>
              <w:autoSpaceDE/>
              <w:autoSpaceDN/>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否</w:t>
            </w:r>
          </w:p>
        </w:tc>
        <w:tc>
          <w:tcPr>
            <w:tcW w:w="1305" w:type="dxa"/>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ascii="仿宋" w:hAnsi="仿宋" w:eastAsia="仿宋" w:cs="仿宋"/>
                <w:snapToGrid/>
                <w:color w:val="auto"/>
                <w:sz w:val="24"/>
                <w:szCs w:val="24"/>
              </w:rPr>
              <w:t>2</w:t>
            </w:r>
          </w:p>
        </w:tc>
      </w:tr>
    </w:tbl>
    <w:p>
      <w:pPr>
        <w:spacing w:line="360" w:lineRule="auto"/>
        <w:ind w:right="127" w:firstLine="628" w:firstLineChars="200"/>
        <w:jc w:val="both"/>
        <w:rPr>
          <w:rFonts w:hint="eastAsia" w:ascii="仿宋" w:hAnsi="仿宋" w:eastAsia="仿宋" w:cs="仿宋"/>
          <w:color w:val="auto"/>
          <w:spacing w:val="-3"/>
          <w:sz w:val="32"/>
          <w:szCs w:val="32"/>
        </w:rPr>
      </w:pPr>
      <w:r>
        <w:rPr>
          <w:rFonts w:hint="eastAsia" w:ascii="仿宋" w:hAnsi="仿宋" w:eastAsia="仿宋" w:cs="仿宋"/>
          <w:color w:val="auto"/>
          <w:spacing w:val="-3"/>
          <w:sz w:val="32"/>
          <w:szCs w:val="32"/>
        </w:rPr>
        <w:t>本人对提交董事会的议案进行认真审议，以独立、客观、审慎的态度行使表决权，本人认为公司重大经营事项和其他重大事项均履行了相关审批程序，合法有效，无提出异议的事项，也没有反对、弃权的情形。</w:t>
      </w:r>
    </w:p>
    <w:p>
      <w:pPr>
        <w:spacing w:line="360" w:lineRule="auto"/>
        <w:ind w:firstLine="317" w:firstLineChars="100"/>
        <w:jc w:val="both"/>
        <w:rPr>
          <w:rFonts w:hint="eastAsia" w:ascii="仿宋" w:hAnsi="仿宋" w:eastAsia="仿宋" w:cs="仿宋"/>
          <w:b/>
          <w:bCs/>
          <w:color w:val="auto"/>
          <w:spacing w:val="-2"/>
          <w:sz w:val="32"/>
          <w:szCs w:val="32"/>
        </w:rPr>
      </w:pPr>
      <w:r>
        <w:rPr>
          <w:rFonts w:hint="eastAsia" w:ascii="仿宋" w:hAnsi="仿宋" w:eastAsia="仿宋" w:cs="仿宋"/>
          <w:b/>
          <w:bCs/>
          <w:color w:val="auto"/>
          <w:spacing w:val="-2"/>
          <w:sz w:val="32"/>
          <w:szCs w:val="32"/>
        </w:rPr>
        <w:t>（二）参与董事会专门委员会工作情况</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报告期内，公司董事会下设四大专门委员会(战略、审计、提名、薪酬与考核委员会)，本人担任公司董事会审计委员会主任委员。</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报告期内，公司共召开了</w:t>
      </w:r>
      <w:r>
        <w:rPr>
          <w:rFonts w:ascii="仿宋" w:hAnsi="仿宋" w:eastAsia="仿宋" w:cs="仿宋"/>
          <w:color w:val="auto"/>
          <w:spacing w:val="-2"/>
          <w:sz w:val="32"/>
          <w:szCs w:val="32"/>
        </w:rPr>
        <w:t>5</w:t>
      </w:r>
      <w:r>
        <w:rPr>
          <w:rFonts w:hint="eastAsia" w:ascii="仿宋" w:hAnsi="仿宋" w:eastAsia="仿宋" w:cs="仿宋"/>
          <w:color w:val="auto"/>
          <w:spacing w:val="-2"/>
          <w:sz w:val="32"/>
          <w:szCs w:val="32"/>
        </w:rPr>
        <w:t>次审计委员会，本人均严格按照公司董事会专门委员会相关工作规则的规定，亲自参加并主持了相关会议，对相关议案进行了认真审查，未有提出反对或弃权的情况。本人利用自身所具备的专业知识和工作经验，忠实勤勉地履行职责，为公司董事会科学决策提供了建设性意见。</w:t>
      </w:r>
    </w:p>
    <w:p>
      <w:pPr>
        <w:spacing w:line="360" w:lineRule="auto"/>
        <w:ind w:firstLine="635" w:firstLineChars="200"/>
        <w:jc w:val="both"/>
        <w:rPr>
          <w:rFonts w:hint="eastAsia" w:ascii="仿宋" w:hAnsi="仿宋" w:eastAsia="仿宋" w:cs="仿宋"/>
          <w:b/>
          <w:bCs/>
          <w:color w:val="auto"/>
          <w:spacing w:val="-2"/>
          <w:sz w:val="32"/>
          <w:szCs w:val="32"/>
        </w:rPr>
      </w:pPr>
      <w:r>
        <w:rPr>
          <w:rFonts w:hint="eastAsia" w:ascii="仿宋" w:hAnsi="仿宋" w:eastAsia="仿宋" w:cs="仿宋"/>
          <w:b/>
          <w:bCs/>
          <w:color w:val="auto"/>
          <w:spacing w:val="-2"/>
          <w:sz w:val="32"/>
          <w:szCs w:val="32"/>
        </w:rPr>
        <w:t>（三）参与独立董事专门会议工作情况</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报告期内公司共召开</w:t>
      </w:r>
      <w:r>
        <w:rPr>
          <w:rFonts w:ascii="仿宋" w:hAnsi="仿宋" w:eastAsia="仿宋" w:cs="仿宋"/>
          <w:color w:val="auto"/>
          <w:spacing w:val="-2"/>
          <w:sz w:val="32"/>
          <w:szCs w:val="32"/>
        </w:rPr>
        <w:t>2</w:t>
      </w:r>
      <w:r>
        <w:rPr>
          <w:rFonts w:hint="eastAsia" w:ascii="仿宋" w:hAnsi="仿宋" w:eastAsia="仿宋" w:cs="仿宋"/>
          <w:color w:val="auto"/>
          <w:spacing w:val="-2"/>
          <w:sz w:val="32"/>
          <w:szCs w:val="32"/>
        </w:rPr>
        <w:t>次独立董事专门会议，本人均亲自出席并主持，作为公司独立董事，积极履行独立董事专门会议成员职责：</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（1）</w:t>
      </w:r>
      <w:r>
        <w:rPr>
          <w:rFonts w:ascii="仿宋" w:hAnsi="仿宋" w:eastAsia="仿宋" w:cs="仿宋"/>
          <w:color w:val="auto"/>
          <w:sz w:val="32"/>
          <w:szCs w:val="32"/>
        </w:rPr>
        <w:t>202</w:t>
      </w:r>
      <w:r>
        <w:rPr>
          <w:rFonts w:hint="eastAsia" w:ascii="仿宋" w:hAnsi="仿宋" w:eastAsia="仿宋" w:cs="仿宋"/>
          <w:color w:val="auto"/>
          <w:sz w:val="32"/>
          <w:szCs w:val="32"/>
        </w:rPr>
        <w:t>5年</w:t>
      </w:r>
      <w:r>
        <w:rPr>
          <w:rFonts w:ascii="仿宋" w:hAnsi="仿宋" w:eastAsia="仿宋" w:cs="仿宋"/>
          <w:color w:val="auto"/>
          <w:sz w:val="32"/>
          <w:szCs w:val="32"/>
        </w:rPr>
        <w:t>3</w:t>
      </w:r>
      <w:r>
        <w:rPr>
          <w:rFonts w:hint="eastAsia" w:ascii="仿宋" w:hAnsi="仿宋" w:eastAsia="仿宋" w:cs="仿宋"/>
          <w:color w:val="auto"/>
          <w:sz w:val="32"/>
          <w:szCs w:val="32"/>
        </w:rPr>
        <w:t>月</w:t>
      </w:r>
      <w:r>
        <w:rPr>
          <w:rFonts w:ascii="仿宋" w:hAnsi="仿宋" w:eastAsia="仿宋" w:cs="仿宋"/>
          <w:color w:val="auto"/>
          <w:sz w:val="32"/>
          <w:szCs w:val="32"/>
        </w:rPr>
        <w:t>4</w:t>
      </w:r>
      <w:r>
        <w:rPr>
          <w:rFonts w:hint="eastAsia" w:ascii="仿宋" w:hAnsi="仿宋" w:eastAsia="仿宋" w:cs="仿宋"/>
          <w:color w:val="auto"/>
          <w:sz w:val="32"/>
          <w:szCs w:val="32"/>
        </w:rPr>
        <w:t>日，参加并主持了第四届董事会独立董事专门会议第三次会议</w:t>
      </w:r>
      <w:r>
        <w:rPr>
          <w:rFonts w:hint="eastAsia" w:ascii="仿宋" w:hAnsi="仿宋" w:eastAsia="仿宋" w:cs="仿宋"/>
          <w:color w:val="auto"/>
          <w:spacing w:val="-2"/>
          <w:sz w:val="32"/>
          <w:szCs w:val="32"/>
        </w:rPr>
        <w:t>，审议通过了</w:t>
      </w:r>
      <w:r>
        <w:rPr>
          <w:rFonts w:hint="eastAsia" w:ascii="仿宋" w:hAnsi="仿宋" w:eastAsia="仿宋" w:cs="仿宋"/>
          <w:color w:val="auto"/>
          <w:sz w:val="32"/>
          <w:szCs w:val="32"/>
        </w:rPr>
        <w:t>以下议案</w:t>
      </w:r>
      <w:r>
        <w:rPr>
          <w:rFonts w:hint="eastAsia" w:ascii="仿宋" w:hAnsi="仿宋" w:eastAsia="仿宋" w:cs="仿宋"/>
          <w:color w:val="auto"/>
          <w:spacing w:val="-2"/>
          <w:sz w:val="32"/>
          <w:szCs w:val="32"/>
        </w:rPr>
        <w:t>：《关于增加</w:t>
      </w:r>
      <w:r>
        <w:rPr>
          <w:rFonts w:ascii="仿宋" w:hAnsi="仿宋" w:eastAsia="仿宋" w:cs="仿宋"/>
          <w:color w:val="auto"/>
          <w:spacing w:val="-2"/>
          <w:sz w:val="32"/>
          <w:szCs w:val="32"/>
        </w:rPr>
        <w:t>2025</w:t>
      </w:r>
      <w:r>
        <w:rPr>
          <w:rFonts w:hint="eastAsia" w:ascii="仿宋" w:hAnsi="仿宋" w:eastAsia="仿宋" w:cs="仿宋"/>
          <w:color w:val="auto"/>
          <w:spacing w:val="-2"/>
          <w:sz w:val="32"/>
          <w:szCs w:val="32"/>
        </w:rPr>
        <w:t>年度日常关联交易预计的议案》；</w:t>
      </w:r>
    </w:p>
    <w:p>
      <w:pPr>
        <w:spacing w:line="360" w:lineRule="auto"/>
        <w:ind w:firstLine="640" w:firstLineChars="200"/>
        <w:jc w:val="both"/>
        <w:rPr>
          <w:rFonts w:hint="eastAsia" w:ascii="仿宋" w:hAnsi="仿宋" w:eastAsia="仿宋" w:cs="仿宋"/>
          <w:b/>
          <w:bCs/>
          <w:color w:val="auto"/>
          <w:spacing w:val="-2"/>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2</w:t>
      </w:r>
      <w:r>
        <w:rPr>
          <w:rFonts w:hint="eastAsia" w:ascii="仿宋" w:hAnsi="仿宋" w:eastAsia="仿宋" w:cs="仿宋"/>
          <w:color w:val="auto"/>
          <w:sz w:val="32"/>
          <w:szCs w:val="32"/>
        </w:rPr>
        <w:t>）202</w:t>
      </w:r>
      <w:r>
        <w:rPr>
          <w:rFonts w:ascii="仿宋" w:hAnsi="仿宋" w:eastAsia="仿宋" w:cs="仿宋"/>
          <w:color w:val="auto"/>
          <w:sz w:val="32"/>
          <w:szCs w:val="32"/>
        </w:rPr>
        <w:t>5</w:t>
      </w:r>
      <w:r>
        <w:rPr>
          <w:rFonts w:hint="eastAsia" w:ascii="仿宋" w:hAnsi="仿宋" w:eastAsia="仿宋" w:cs="仿宋"/>
          <w:color w:val="auto"/>
          <w:sz w:val="32"/>
          <w:szCs w:val="32"/>
        </w:rPr>
        <w:t>年</w:t>
      </w:r>
      <w:r>
        <w:rPr>
          <w:rFonts w:ascii="仿宋" w:hAnsi="仿宋" w:eastAsia="仿宋" w:cs="仿宋"/>
          <w:color w:val="auto"/>
          <w:sz w:val="32"/>
          <w:szCs w:val="32"/>
        </w:rPr>
        <w:t>12</w:t>
      </w:r>
      <w:r>
        <w:rPr>
          <w:rFonts w:hint="eastAsia" w:ascii="仿宋" w:hAnsi="仿宋" w:eastAsia="仿宋" w:cs="仿宋"/>
          <w:color w:val="auto"/>
          <w:sz w:val="32"/>
          <w:szCs w:val="32"/>
        </w:rPr>
        <w:t>月</w:t>
      </w:r>
      <w:r>
        <w:rPr>
          <w:rFonts w:ascii="仿宋" w:hAnsi="仿宋" w:eastAsia="仿宋" w:cs="仿宋"/>
          <w:color w:val="auto"/>
          <w:sz w:val="32"/>
          <w:szCs w:val="32"/>
        </w:rPr>
        <w:t>9</w:t>
      </w:r>
      <w:r>
        <w:rPr>
          <w:rFonts w:hint="eastAsia" w:ascii="仿宋" w:hAnsi="仿宋" w:eastAsia="仿宋" w:cs="仿宋"/>
          <w:color w:val="auto"/>
          <w:sz w:val="32"/>
          <w:szCs w:val="32"/>
        </w:rPr>
        <w:t>日，参加并主持了第四届董事会独立董事专门会议第四次会议</w:t>
      </w:r>
      <w:r>
        <w:rPr>
          <w:rFonts w:hint="eastAsia" w:ascii="仿宋" w:hAnsi="仿宋" w:eastAsia="仿宋" w:cs="仿宋"/>
          <w:color w:val="auto"/>
          <w:spacing w:val="-2"/>
          <w:sz w:val="32"/>
          <w:szCs w:val="32"/>
        </w:rPr>
        <w:t>，审议通过了</w:t>
      </w:r>
      <w:r>
        <w:rPr>
          <w:rFonts w:hint="eastAsia" w:ascii="仿宋" w:hAnsi="仿宋" w:eastAsia="仿宋" w:cs="仿宋"/>
          <w:color w:val="auto"/>
          <w:sz w:val="32"/>
          <w:szCs w:val="32"/>
        </w:rPr>
        <w:t>以下议案</w:t>
      </w:r>
      <w:r>
        <w:rPr>
          <w:rFonts w:hint="eastAsia" w:ascii="仿宋" w:hAnsi="仿宋" w:eastAsia="仿宋" w:cs="仿宋"/>
          <w:color w:val="auto"/>
          <w:spacing w:val="-2"/>
          <w:sz w:val="32"/>
          <w:szCs w:val="32"/>
        </w:rPr>
        <w:t>：《关于预计</w:t>
      </w:r>
      <w:r>
        <w:rPr>
          <w:rFonts w:ascii="仿宋" w:hAnsi="仿宋" w:eastAsia="仿宋" w:cs="仿宋"/>
          <w:color w:val="auto"/>
          <w:spacing w:val="-2"/>
          <w:sz w:val="32"/>
          <w:szCs w:val="32"/>
        </w:rPr>
        <w:t>2026</w:t>
      </w:r>
      <w:r>
        <w:rPr>
          <w:rFonts w:hint="eastAsia" w:ascii="仿宋" w:hAnsi="仿宋" w:eastAsia="仿宋" w:cs="仿宋"/>
          <w:color w:val="auto"/>
          <w:spacing w:val="-2"/>
          <w:sz w:val="32"/>
          <w:szCs w:val="32"/>
        </w:rPr>
        <w:t>年度日常关联交易的议案》。</w:t>
      </w:r>
    </w:p>
    <w:p>
      <w:pPr>
        <w:spacing w:line="360" w:lineRule="auto"/>
        <w:ind w:firstLine="635" w:firstLineChars="200"/>
        <w:jc w:val="both"/>
        <w:rPr>
          <w:rFonts w:hint="eastAsia" w:ascii="仿宋" w:hAnsi="仿宋" w:eastAsia="仿宋" w:cs="仿宋"/>
          <w:b/>
          <w:bCs/>
          <w:color w:val="auto"/>
          <w:spacing w:val="-2"/>
          <w:sz w:val="32"/>
          <w:szCs w:val="32"/>
        </w:rPr>
      </w:pPr>
      <w:r>
        <w:rPr>
          <w:rFonts w:hint="eastAsia" w:ascii="仿宋" w:hAnsi="仿宋" w:eastAsia="仿宋" w:cs="仿宋"/>
          <w:b/>
          <w:bCs/>
          <w:color w:val="auto"/>
          <w:spacing w:val="-2"/>
          <w:sz w:val="32"/>
          <w:szCs w:val="32"/>
        </w:rPr>
        <w:t>（四）其他履职事项</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1、在公司现场及与公司沟通情况</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一是持续收集并熟悉公司的背景资料、内控制度及相关的财务报表信息，向公司相关事业部了解公司主要产品相关的专业知识及市场情况，对公司所在行业与产品有了进一步的认识。</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二是通过参会、走访调研、视频、电话等方式，定期获取公司运营情况等资料，及时获悉公司重大事项的进展情况，了解掌握公司运行动态。此外，还对公司证券事务代表及董事会秘书等转发的有关政策文件与监管案例进行了认真学习。</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三是与审计部、财务部、证券部等部门多次就年审等事项进行沟通交流，并提出相关意见建议。如：</w:t>
      </w:r>
      <w:r>
        <w:rPr>
          <w:rFonts w:ascii="仿宋" w:hAnsi="仿宋" w:eastAsia="仿宋" w:cs="仿宋"/>
          <w:color w:val="auto"/>
          <w:spacing w:val="-2"/>
          <w:sz w:val="32"/>
          <w:szCs w:val="32"/>
        </w:rPr>
        <w:t>2025</w:t>
      </w:r>
      <w:r>
        <w:rPr>
          <w:rFonts w:hint="eastAsia" w:ascii="仿宋" w:hAnsi="仿宋" w:eastAsia="仿宋" w:cs="仿宋"/>
          <w:color w:val="auto"/>
          <w:spacing w:val="-2"/>
          <w:sz w:val="32"/>
          <w:szCs w:val="32"/>
        </w:rPr>
        <w:t>年</w:t>
      </w:r>
      <w:r>
        <w:rPr>
          <w:rFonts w:ascii="仿宋" w:hAnsi="仿宋" w:eastAsia="仿宋" w:cs="仿宋"/>
          <w:color w:val="auto"/>
          <w:spacing w:val="-2"/>
          <w:sz w:val="32"/>
          <w:szCs w:val="32"/>
        </w:rPr>
        <w:t>1</w:t>
      </w:r>
      <w:r>
        <w:rPr>
          <w:rFonts w:hint="eastAsia" w:ascii="仿宋" w:hAnsi="仿宋" w:eastAsia="仿宋" w:cs="仿宋"/>
          <w:color w:val="auto"/>
          <w:spacing w:val="-2"/>
          <w:sz w:val="32"/>
          <w:szCs w:val="32"/>
        </w:rPr>
        <w:t>月-4月期间，多次与公司审计部、财务部、会计师事务所就公司</w:t>
      </w:r>
      <w:r>
        <w:rPr>
          <w:rFonts w:ascii="仿宋" w:hAnsi="仿宋" w:eastAsia="仿宋" w:cs="仿宋"/>
          <w:color w:val="auto"/>
          <w:spacing w:val="-2"/>
          <w:sz w:val="32"/>
          <w:szCs w:val="32"/>
        </w:rPr>
        <w:t>2024</w:t>
      </w:r>
      <w:r>
        <w:rPr>
          <w:rFonts w:hint="eastAsia" w:ascii="仿宋" w:hAnsi="仿宋" w:eastAsia="仿宋" w:cs="仿宋"/>
          <w:color w:val="auto"/>
          <w:spacing w:val="-2"/>
          <w:sz w:val="32"/>
          <w:szCs w:val="32"/>
        </w:rPr>
        <w:t>年内部审计工作开展情况，以及年度报告审计计划、审计情况等进行详细沟通；2</w:t>
      </w:r>
      <w:r>
        <w:rPr>
          <w:rFonts w:ascii="仿宋" w:hAnsi="仿宋" w:eastAsia="仿宋" w:cs="仿宋"/>
          <w:color w:val="auto"/>
          <w:spacing w:val="-2"/>
          <w:sz w:val="32"/>
          <w:szCs w:val="32"/>
        </w:rPr>
        <w:t>025</w:t>
      </w:r>
      <w:r>
        <w:rPr>
          <w:rFonts w:hint="eastAsia" w:ascii="仿宋" w:hAnsi="仿宋" w:eastAsia="仿宋" w:cs="仿宋"/>
          <w:color w:val="auto"/>
          <w:spacing w:val="-2"/>
          <w:sz w:val="32"/>
          <w:szCs w:val="32"/>
        </w:rPr>
        <w:t>年7月，与总经办就集团人员配置事宜进行沟通交流，形成书面意见《独立董事王勇对</w:t>
      </w:r>
      <w:r>
        <w:rPr>
          <w:rFonts w:ascii="仿宋" w:hAnsi="仿宋" w:eastAsia="仿宋" w:cs="仿宋"/>
          <w:color w:val="auto"/>
          <w:spacing w:val="-2"/>
          <w:sz w:val="32"/>
          <w:szCs w:val="32"/>
        </w:rPr>
        <w:t>&lt;</w:t>
      </w:r>
      <w:r>
        <w:rPr>
          <w:rFonts w:hint="eastAsia" w:ascii="仿宋" w:hAnsi="仿宋" w:eastAsia="仿宋" w:cs="仿宋"/>
          <w:color w:val="auto"/>
          <w:spacing w:val="-2"/>
          <w:sz w:val="32"/>
          <w:szCs w:val="32"/>
        </w:rPr>
        <w:t>集团公司</w:t>
      </w:r>
      <w:r>
        <w:rPr>
          <w:rFonts w:ascii="仿宋" w:hAnsi="仿宋" w:eastAsia="仿宋" w:cs="仿宋"/>
          <w:color w:val="auto"/>
          <w:spacing w:val="-2"/>
          <w:sz w:val="32"/>
          <w:szCs w:val="32"/>
        </w:rPr>
        <w:t>2025</w:t>
      </w:r>
      <w:r>
        <w:rPr>
          <w:rFonts w:hint="eastAsia" w:ascii="仿宋" w:hAnsi="仿宋" w:eastAsia="仿宋" w:cs="仿宋"/>
          <w:color w:val="auto"/>
          <w:spacing w:val="-2"/>
          <w:sz w:val="32"/>
          <w:szCs w:val="32"/>
        </w:rPr>
        <w:t>年上半年人员配置及流动专项报告</w:t>
      </w:r>
      <w:r>
        <w:rPr>
          <w:rFonts w:ascii="仿宋" w:hAnsi="仿宋" w:eastAsia="仿宋" w:cs="仿宋"/>
          <w:color w:val="auto"/>
          <w:spacing w:val="-2"/>
          <w:sz w:val="32"/>
          <w:szCs w:val="32"/>
        </w:rPr>
        <w:t>&gt;</w:t>
      </w:r>
      <w:r>
        <w:rPr>
          <w:rFonts w:hint="eastAsia" w:ascii="仿宋" w:hAnsi="仿宋" w:eastAsia="仿宋" w:cs="仿宋"/>
          <w:color w:val="auto"/>
          <w:spacing w:val="-2"/>
          <w:sz w:val="32"/>
          <w:szCs w:val="32"/>
        </w:rPr>
        <w:t>的意见建议》；2025年8月，就公司拟投资新建重卡超充项目反复与公司相关职能部门进行沟通，并通过专门会议进行情况了解与分析论证；2025年11月，除参加公司“十五五”规划及推进企业高质量发展战略研讨会，听取有关报告、参与研讨，并发表意见建议外，还就公司新业务有关账务处理与公司财务部及相关业务负责人进行了多次沟通；</w:t>
      </w:r>
      <w:r>
        <w:rPr>
          <w:rFonts w:ascii="仿宋" w:hAnsi="仿宋" w:eastAsia="仿宋" w:cs="仿宋"/>
          <w:color w:val="auto"/>
          <w:spacing w:val="-2"/>
          <w:sz w:val="32"/>
          <w:szCs w:val="32"/>
        </w:rPr>
        <w:t>2025</w:t>
      </w:r>
      <w:r>
        <w:rPr>
          <w:rFonts w:hint="eastAsia" w:ascii="仿宋" w:hAnsi="仿宋" w:eastAsia="仿宋" w:cs="仿宋"/>
          <w:color w:val="auto"/>
          <w:spacing w:val="-2"/>
          <w:sz w:val="32"/>
          <w:szCs w:val="32"/>
        </w:rPr>
        <w:t>年8-12月期间，多次与公司相关人员就监事会取消后内部审计工作如何开展进行了交流，并提出了完善内审制度、强化人员配置、重塑内审职能等建议。</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2、与内部审计机构及会计师事务所的沟通情况</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报告期内，本人与公司内部审计机构、年审会计师事务所积极沟通，通过电话、专门会议等方式与会计师事务所就年审计划、审计重点、审计情况等事项进行了探讨和交流，共同推动审计工作的全面、高效开展。</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本人通过行业公开信息持续关注着先后负责公司年审的大华、天健会计师事务所，并及时与公司证券事务代表进行沟通。在与负责公司年审的会所项目团队人员沟通时，建议要求负责公司年报审计的团队应保持稳定性、独立性与专业胜任能力，并合理安排审计人员与时间，以确保公司年报审计的信息质量与按期披露。</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3、与中小股东的沟通情况</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报告期内，本人积极关注公司二级市场表现及上证e互动等平台上公司股东的提问，了解公司股东的想法和关注事项；亦注重参与公司投资者管理方面的工作，切实维护全体股东尤其是中小股东的合法利益。</w:t>
      </w:r>
    </w:p>
    <w:p>
      <w:pPr>
        <w:numPr>
          <w:ilvl w:val="0"/>
          <w:numId w:val="4"/>
        </w:num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持续学习，增强履职能力</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积极主动参加上交所及上市公司协会组织的有关学习，了解并熟悉与公司履职有关的法律法规、政策内容，并运用到日常的履职事项中。此外，还积极学习与公司经营有关的知识，以增强对公司业务运营的理解。</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5、上市公司配合独立董事履职情况</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公司为保证独立董事有效行使职权，为独立董事提供了必要的工作条件。在履职过程中，公司董事会、管理层和相关工作人员积极配合本人工作，及时提供本人开展工作所需信息、资料和协助，沟通与意见传达渠道通畅，本人提出的相关意见均得到了有效传导、及时响应与恰当处理。</w:t>
      </w:r>
    </w:p>
    <w:p>
      <w:pPr>
        <w:spacing w:line="360" w:lineRule="auto"/>
        <w:ind w:firstLine="644" w:firstLineChars="200"/>
        <w:jc w:val="both"/>
        <w:outlineLvl w:val="0"/>
        <w:rPr>
          <w:rFonts w:hint="eastAsia" w:ascii="仿宋" w:hAnsi="仿宋" w:eastAsia="仿宋" w:cs="仿宋"/>
          <w:color w:val="auto"/>
          <w:sz w:val="32"/>
          <w:szCs w:val="32"/>
        </w:rPr>
      </w:pPr>
      <w:r>
        <w:rPr>
          <w:rFonts w:hint="eastAsia" w:ascii="仿宋" w:hAnsi="仿宋" w:eastAsia="仿宋" w:cs="仿宋"/>
          <w:color w:val="auto"/>
          <w:spacing w:val="1"/>
          <w:sz w:val="32"/>
          <w:szCs w:val="32"/>
          <w14:textOutline w14:w="4356" w14:cap="flat" w14:cmpd="sng" w14:algn="ctr">
            <w14:solidFill>
              <w14:srgbClr w14:val="000000"/>
            </w14:solidFill>
            <w14:prstDash w14:val="solid"/>
            <w14:miter w14:val="0"/>
          </w14:textOutline>
        </w:rPr>
        <w:t>三、202</w:t>
      </w:r>
      <w:r>
        <w:rPr>
          <w:rFonts w:ascii="仿宋" w:hAnsi="仿宋" w:eastAsia="仿宋" w:cs="仿宋"/>
          <w:color w:val="auto"/>
          <w:spacing w:val="1"/>
          <w:sz w:val="32"/>
          <w:szCs w:val="32"/>
          <w14:textOutline w14:w="4356" w14:cap="flat" w14:cmpd="sng" w14:algn="ctr">
            <w14:solidFill>
              <w14:srgbClr w14:val="000000"/>
            </w14:solidFill>
            <w14:prstDash w14:val="solid"/>
            <w14:miter w14:val="0"/>
          </w14:textOutline>
        </w:rPr>
        <w:t>5</w:t>
      </w:r>
      <w:r>
        <w:rPr>
          <w:rFonts w:hint="eastAsia" w:ascii="仿宋" w:hAnsi="仿宋" w:eastAsia="仿宋" w:cs="仿宋"/>
          <w:color w:val="auto"/>
          <w:spacing w:val="1"/>
          <w:sz w:val="32"/>
          <w:szCs w:val="32"/>
          <w14:textOutline w14:w="4356" w14:cap="flat" w14:cmpd="sng" w14:algn="ctr">
            <w14:solidFill>
              <w14:srgbClr w14:val="000000"/>
            </w14:solidFill>
            <w14:prstDash w14:val="solid"/>
            <w14:miter w14:val="0"/>
          </w14:textOutline>
        </w:rPr>
        <w:t>年度履职重点关注事项</w:t>
      </w:r>
    </w:p>
    <w:p>
      <w:pPr>
        <w:spacing w:line="360" w:lineRule="auto"/>
        <w:ind w:firstLine="632" w:firstLineChars="200"/>
        <w:jc w:val="both"/>
        <w:rPr>
          <w:rFonts w:hint="eastAsia" w:ascii="仿宋" w:hAnsi="仿宋" w:eastAsia="仿宋" w:cs="仿宋"/>
          <w:color w:val="auto"/>
          <w:spacing w:val="-2"/>
          <w:sz w:val="32"/>
          <w:szCs w:val="32"/>
        </w:rPr>
      </w:pPr>
      <w:bookmarkStart w:id="0" w:name="OLE_LINK2"/>
      <w:bookmarkStart w:id="1" w:name="OLE_LINK1"/>
      <w:r>
        <w:rPr>
          <w:rFonts w:hint="eastAsia" w:ascii="仿宋" w:hAnsi="仿宋" w:eastAsia="仿宋" w:cs="仿宋"/>
          <w:color w:val="auto"/>
          <w:spacing w:val="-2"/>
          <w:sz w:val="32"/>
          <w:szCs w:val="32"/>
        </w:rPr>
        <w:t>（一）应当披露的关联交易</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报告期内、本人履职期间，公司未发生应披露而未披露关联交易的情况。</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（二）公司及相关方变更或豁免承诺的情况</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报告期内、本人履职期间，不存在公司及相关方变更或者豁免有关承诺的情况，也未出现公司及相关方违反公开承诺的情况。</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（三）被收购上市公司董事会针对收购所作出的决策及采取的措施情况</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报告期内、本人履职期间，公司不存在适用此情况的情形。</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（四）披露财务会计报告及定期报告中的财务信息、内部控制评价报告</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报告期内、本人履职期间，公司披露了以下定期报告：《202</w:t>
      </w:r>
      <w:r>
        <w:rPr>
          <w:rFonts w:ascii="仿宋" w:hAnsi="仿宋" w:eastAsia="仿宋" w:cs="仿宋"/>
          <w:color w:val="auto"/>
          <w:spacing w:val="-2"/>
          <w:sz w:val="32"/>
          <w:szCs w:val="32"/>
        </w:rPr>
        <w:t>4</w:t>
      </w:r>
      <w:r>
        <w:rPr>
          <w:rFonts w:hint="eastAsia" w:ascii="仿宋" w:hAnsi="仿宋" w:eastAsia="仿宋" w:cs="仿宋"/>
          <w:color w:val="auto"/>
          <w:spacing w:val="-2"/>
          <w:sz w:val="32"/>
          <w:szCs w:val="32"/>
        </w:rPr>
        <w:t>年年度报告》《202</w:t>
      </w:r>
      <w:r>
        <w:rPr>
          <w:rFonts w:ascii="仿宋" w:hAnsi="仿宋" w:eastAsia="仿宋" w:cs="仿宋"/>
          <w:color w:val="auto"/>
          <w:spacing w:val="-2"/>
          <w:sz w:val="32"/>
          <w:szCs w:val="32"/>
        </w:rPr>
        <w:t>5</w:t>
      </w:r>
      <w:r>
        <w:rPr>
          <w:rFonts w:hint="eastAsia" w:ascii="仿宋" w:hAnsi="仿宋" w:eastAsia="仿宋" w:cs="仿宋"/>
          <w:color w:val="auto"/>
          <w:spacing w:val="-2"/>
          <w:sz w:val="32"/>
          <w:szCs w:val="32"/>
        </w:rPr>
        <w:t>年第一季度报告》《202</w:t>
      </w:r>
      <w:r>
        <w:rPr>
          <w:rFonts w:ascii="仿宋" w:hAnsi="仿宋" w:eastAsia="仿宋" w:cs="仿宋"/>
          <w:color w:val="auto"/>
          <w:spacing w:val="-2"/>
          <w:sz w:val="32"/>
          <w:szCs w:val="32"/>
        </w:rPr>
        <w:t>5</w:t>
      </w:r>
      <w:r>
        <w:rPr>
          <w:rFonts w:hint="eastAsia" w:ascii="仿宋" w:hAnsi="仿宋" w:eastAsia="仿宋" w:cs="仿宋"/>
          <w:color w:val="auto"/>
          <w:spacing w:val="-2"/>
          <w:sz w:val="32"/>
          <w:szCs w:val="32"/>
        </w:rPr>
        <w:t>年半年度报告》《2</w:t>
      </w:r>
      <w:r>
        <w:rPr>
          <w:rFonts w:ascii="仿宋" w:hAnsi="仿宋" w:eastAsia="仿宋" w:cs="仿宋"/>
          <w:color w:val="auto"/>
          <w:spacing w:val="-2"/>
          <w:sz w:val="32"/>
          <w:szCs w:val="32"/>
        </w:rPr>
        <w:t>025</w:t>
      </w:r>
      <w:r>
        <w:rPr>
          <w:rFonts w:hint="eastAsia" w:ascii="仿宋" w:hAnsi="仿宋" w:eastAsia="仿宋" w:cs="仿宋"/>
          <w:color w:val="auto"/>
          <w:spacing w:val="-2"/>
          <w:sz w:val="32"/>
          <w:szCs w:val="32"/>
        </w:rPr>
        <w:t>年第三季度报告》；且披露了《202</w:t>
      </w:r>
      <w:r>
        <w:rPr>
          <w:rFonts w:ascii="仿宋" w:hAnsi="仿宋" w:eastAsia="仿宋" w:cs="仿宋"/>
          <w:color w:val="auto"/>
          <w:spacing w:val="-2"/>
          <w:sz w:val="32"/>
          <w:szCs w:val="32"/>
        </w:rPr>
        <w:t>4</w:t>
      </w:r>
      <w:r>
        <w:rPr>
          <w:rFonts w:hint="eastAsia" w:ascii="仿宋" w:hAnsi="仿宋" w:eastAsia="仿宋" w:cs="仿宋"/>
          <w:color w:val="auto"/>
          <w:spacing w:val="-2"/>
          <w:sz w:val="32"/>
          <w:szCs w:val="32"/>
        </w:rPr>
        <w:t>年度内部控制自我评价报告》。</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（五）聘用、解聘承办上市公司审计业务的会计师事务所</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报告期内、本人履职期间，公司报告期内，公司续</w:t>
      </w:r>
      <w:r>
        <w:rPr>
          <w:rFonts w:hint="eastAsia" w:ascii="仿宋" w:hAnsi="仿宋" w:eastAsia="仿宋" w:cs="仿宋"/>
          <w:color w:val="auto"/>
          <w:kern w:val="2"/>
          <w:sz w:val="32"/>
          <w:szCs w:val="32"/>
        </w:rPr>
        <w:t>聘天健会计师事务所为公司202</w:t>
      </w:r>
      <w:r>
        <w:rPr>
          <w:rFonts w:ascii="仿宋" w:hAnsi="仿宋" w:eastAsia="仿宋" w:cs="仿宋"/>
          <w:color w:val="auto"/>
          <w:kern w:val="2"/>
          <w:sz w:val="32"/>
          <w:szCs w:val="32"/>
        </w:rPr>
        <w:t>5</w:t>
      </w:r>
      <w:r>
        <w:rPr>
          <w:rFonts w:hint="eastAsia" w:ascii="仿宋" w:hAnsi="仿宋" w:eastAsia="仿宋" w:cs="仿宋"/>
          <w:color w:val="auto"/>
          <w:kern w:val="2"/>
          <w:sz w:val="32"/>
          <w:szCs w:val="32"/>
        </w:rPr>
        <w:t>年度审计机构。</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（六）聘任或者解聘公司财务负责人</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报告期内、本人履职期间，公司未发生聘任或者解聘公司财务负责人的情况。</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（七）因会计准则变更以外的原因作出会计政策、会计估计变更或者重大会计差错更正</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存在因国家统一的会计制度要求作出的会计政策变更，对公司财务状况、经营成果和现金流量无重大影响，不存在损害公司及全体股东利益的情形。除此之外，不存在因会计准则变更以外的原因作出会计政策、会计估计变更或者重大会计差错更正。</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（八）提名或者任免董事，聘任或者解聘高级管理人员</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报告期内、本人履职期间，公司不存在聘任公司高级管理人员的情况。</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（九）董事、高级管理人员的薪酬及股权激励计划有关事项</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本人对公司董事、高级管理人员薪酬及薪酬方案情况进行了审核，不存在损害公司及股东利益的情形。</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报告期内，本人持续关注股权激励计划进展，认真审议了限制性股票等相关议案并发表独立意见，股权激励事项符合《上市公司股权激励管理办法》等法律法规以及终止实施</w:t>
      </w:r>
      <w:r>
        <w:rPr>
          <w:rFonts w:ascii="仿宋" w:hAnsi="仿宋" w:eastAsia="仿宋" w:cs="仿宋"/>
          <w:color w:val="auto"/>
          <w:spacing w:val="-2"/>
          <w:sz w:val="32"/>
          <w:szCs w:val="32"/>
        </w:rPr>
        <w:t>2024</w:t>
      </w:r>
      <w:r>
        <w:rPr>
          <w:rFonts w:hint="eastAsia" w:ascii="仿宋" w:hAnsi="仿宋" w:eastAsia="仿宋" w:cs="仿宋"/>
          <w:color w:val="auto"/>
          <w:spacing w:val="-2"/>
          <w:sz w:val="32"/>
          <w:szCs w:val="32"/>
        </w:rPr>
        <w:t>年限制性股票激励计划的规定，程序合法、合规，对限制性股票进行终止和回购注销相关股票。</w:t>
      </w:r>
    </w:p>
    <w:bookmarkEnd w:id="0"/>
    <w:bookmarkEnd w:id="1"/>
    <w:p>
      <w:pPr>
        <w:spacing w:line="360" w:lineRule="auto"/>
        <w:ind w:firstLine="635" w:firstLineChars="200"/>
        <w:jc w:val="both"/>
        <w:rPr>
          <w:rFonts w:hint="eastAsia" w:ascii="仿宋" w:hAnsi="仿宋" w:eastAsia="仿宋" w:cs="仿宋"/>
          <w:b/>
          <w:bCs/>
          <w:color w:val="auto"/>
          <w:spacing w:val="-2"/>
          <w:sz w:val="32"/>
          <w:szCs w:val="32"/>
        </w:rPr>
      </w:pPr>
      <w:r>
        <w:rPr>
          <w:rFonts w:hint="eastAsia" w:ascii="仿宋" w:hAnsi="仿宋" w:eastAsia="仿宋" w:cs="仿宋"/>
          <w:b/>
          <w:bCs/>
          <w:color w:val="auto"/>
          <w:spacing w:val="-2"/>
          <w:sz w:val="32"/>
          <w:szCs w:val="32"/>
        </w:rPr>
        <w:t>四、履职情况总体评价</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担任公司独立董事以来，本人勤勉、忠实地履行了独立董事的各项职责，充分发挥了决策、监督与咨询作用，有效维护了公司及全体股东的利益。在勤勉义务方面，2025年期间，本人为公司工作的时间约为23个工作日（其中在现场工作时间为2</w:t>
      </w:r>
      <w:r>
        <w:rPr>
          <w:rFonts w:hint="eastAsia" w:ascii="仿宋" w:hAnsi="仿宋" w:eastAsia="仿宋" w:cs="仿宋"/>
          <w:color w:val="auto"/>
          <w:spacing w:val="-2"/>
          <w:sz w:val="32"/>
          <w:szCs w:val="32"/>
          <w:lang w:val="en-US" w:eastAsia="zh-CN"/>
        </w:rPr>
        <w:t>3</w:t>
      </w:r>
      <w:bookmarkStart w:id="2" w:name="_GoBack"/>
      <w:bookmarkEnd w:id="2"/>
      <w:r>
        <w:rPr>
          <w:rFonts w:hint="eastAsia" w:ascii="仿宋" w:hAnsi="仿宋" w:eastAsia="仿宋" w:cs="仿宋"/>
          <w:color w:val="auto"/>
          <w:spacing w:val="-2"/>
          <w:sz w:val="32"/>
          <w:szCs w:val="32"/>
        </w:rPr>
        <w:t>个工作日），积极履行了各项职责。在忠实义务方面，本人积极维护公司整体利益，不存在履职过程中接受不正当利益、利用在公司地位和职权谋取私利、擅自泄露公司商业秘密、利用关联关系损害公司利益等情形，本职与兼职工作与公司独立董事职务均不存在利益冲突，并已如实告知公司有关情况。在独立性方面，根据《上市公司独立董事管理办法》，本人已开展独立董事独立性自查，本人持续符合独立性要求，并持续独立履职，未受公司及主要股东、实际控制人的影响。</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202</w:t>
      </w:r>
      <w:r>
        <w:rPr>
          <w:rFonts w:ascii="仿宋" w:hAnsi="仿宋" w:eastAsia="仿宋" w:cs="仿宋"/>
          <w:color w:val="auto"/>
          <w:spacing w:val="-2"/>
          <w:sz w:val="32"/>
          <w:szCs w:val="32"/>
        </w:rPr>
        <w:t>6</w:t>
      </w:r>
      <w:r>
        <w:rPr>
          <w:rFonts w:hint="eastAsia" w:ascii="仿宋" w:hAnsi="仿宋" w:eastAsia="仿宋" w:cs="仿宋"/>
          <w:color w:val="auto"/>
          <w:spacing w:val="-2"/>
          <w:sz w:val="32"/>
          <w:szCs w:val="32"/>
        </w:rPr>
        <w:t>年，本人将继续本着对全体股东和公司利益高度负责的精神，认真、勤勉、忠实地履行好独立董事的“三项”职责，加强与其他董事及管理层的沟通，发挥审计委员会的专业职责，提高董事会的决策质量，切实维护公司整体利益和全体股东的合法权益。</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特此报告。</w:t>
      </w:r>
    </w:p>
    <w:p>
      <w:pPr>
        <w:spacing w:line="360" w:lineRule="auto"/>
        <w:ind w:firstLine="632" w:firstLineChars="200"/>
        <w:jc w:val="right"/>
        <w:rPr>
          <w:rFonts w:hint="eastAsia" w:ascii="仿宋" w:hAnsi="仿宋" w:eastAsia="仿宋" w:cs="仿宋"/>
          <w:color w:val="auto"/>
          <w:spacing w:val="-2"/>
          <w:sz w:val="32"/>
          <w:szCs w:val="32"/>
        </w:rPr>
      </w:pPr>
    </w:p>
    <w:p>
      <w:pPr>
        <w:spacing w:line="360" w:lineRule="auto"/>
        <w:ind w:firstLine="632" w:firstLineChars="200"/>
        <w:jc w:val="right"/>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 xml:space="preserve">                                 王勇</w:t>
      </w:r>
    </w:p>
    <w:p>
      <w:pPr>
        <w:spacing w:line="360" w:lineRule="auto"/>
        <w:ind w:firstLine="636"/>
        <w:jc w:val="right"/>
        <w:rPr>
          <w:rFonts w:hint="eastAsia" w:ascii="仿宋" w:hAnsi="仿宋" w:eastAsia="仿宋" w:cs="仿宋"/>
          <w:color w:val="auto"/>
          <w:spacing w:val="-1"/>
          <w:sz w:val="32"/>
          <w:szCs w:val="32"/>
        </w:rPr>
      </w:pPr>
      <w:r>
        <w:rPr>
          <w:rFonts w:hint="eastAsia" w:ascii="仿宋" w:hAnsi="仿宋" w:eastAsia="仿宋" w:cs="仿宋"/>
          <w:color w:val="auto"/>
          <w:spacing w:val="-2"/>
          <w:sz w:val="32"/>
          <w:szCs w:val="32"/>
        </w:rPr>
        <w:t>2026年4月2日</w:t>
      </w:r>
      <w:r>
        <w:rPr>
          <w:rFonts w:hint="eastAsia" w:ascii="仿宋" w:hAnsi="仿宋" w:eastAsia="仿宋" w:cs="仿宋"/>
          <w:color w:val="auto"/>
          <w:spacing w:val="-1"/>
          <w:sz w:val="32"/>
          <w:szCs w:val="32"/>
        </w:rPr>
        <w:t xml:space="preserve">                          </w:t>
      </w:r>
    </w:p>
    <w:p>
      <w:pPr>
        <w:spacing w:line="360" w:lineRule="auto"/>
        <w:rPr>
          <w:color w:val="auto"/>
        </w:rPr>
      </w:pPr>
    </w:p>
    <w:sectPr>
      <w:footerReference r:id="rId3" w:type="default"/>
      <w:pgSz w:w="11906" w:h="16838"/>
      <w:pgMar w:top="1440" w:right="1800" w:bottom="1440" w:left="180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F3F5895-9AB7-4EDA-B11A-F8AC6D9F6F08}"/>
  </w:font>
  <w:font w:name="仿宋">
    <w:panose1 w:val="02010609060101010101"/>
    <w:charset w:val="86"/>
    <w:family w:val="modern"/>
    <w:pitch w:val="default"/>
    <w:sig w:usb0="800002BF" w:usb1="38CF7CFA" w:usb2="00000016" w:usb3="00000000" w:csb0="00040001" w:csb1="00000000"/>
    <w:embedRegular r:id="rId2" w:fontKey="{529733AF-8042-4582-AC5F-052E4229E0D2}"/>
  </w:font>
  <w:font w:name="方正仿宋_GBK">
    <w:altName w:val="微软雅黑"/>
    <w:panose1 w:val="00000000000000000000"/>
    <w:charset w:val="86"/>
    <w:family w:val="script"/>
    <w:pitch w:val="default"/>
    <w:sig w:usb0="00000000" w:usb1="00000000" w:usb2="00082016" w:usb3="00000000" w:csb0="00040001" w:csb1="00000000"/>
    <w:embedRegular r:id="rId3" w:fontKey="{3B92E5F8-A418-4425-82FF-1E29537A122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v:textbox>
            </v:shape>
          </w:pict>
        </mc:Fallback>
      </mc:AlternateContent>
    </w:r>
  </w:p>
  <w:p>
    <w:pPr>
      <w:pStyle w:val="4"/>
      <w:ind w:firstLine="35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30662"/>
    <w:multiLevelType w:val="singleLevel"/>
    <w:tmpl w:val="86C30662"/>
    <w:lvl w:ilvl="0" w:tentative="0">
      <w:start w:val="1"/>
      <w:numFmt w:val="chineseCounting"/>
      <w:suff w:val="nothing"/>
      <w:lvlText w:val="（%1）"/>
      <w:lvlJc w:val="left"/>
      <w:rPr>
        <w:rFonts w:hint="eastAsia"/>
      </w:rPr>
    </w:lvl>
  </w:abstractNum>
  <w:abstractNum w:abstractNumId="1">
    <w:nsid w:val="029AFA13"/>
    <w:multiLevelType w:val="singleLevel"/>
    <w:tmpl w:val="029AFA13"/>
    <w:lvl w:ilvl="0" w:tentative="0">
      <w:start w:val="2"/>
      <w:numFmt w:val="chineseCounting"/>
      <w:suff w:val="nothing"/>
      <w:lvlText w:val="（%1）"/>
      <w:lvlJc w:val="left"/>
      <w:rPr>
        <w:rFonts w:hint="eastAsia"/>
      </w:rPr>
    </w:lvl>
  </w:abstractNum>
  <w:abstractNum w:abstractNumId="2">
    <w:nsid w:val="03FE5756"/>
    <w:multiLevelType w:val="multilevel"/>
    <w:tmpl w:val="03FE5756"/>
    <w:lvl w:ilvl="0" w:tentative="0">
      <w:start w:val="2"/>
      <w:numFmt w:val="japaneseCounting"/>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3">
    <w:nsid w:val="27C75ADC"/>
    <w:multiLevelType w:val="singleLevel"/>
    <w:tmpl w:val="27C75ADC"/>
    <w:lvl w:ilvl="0" w:tentative="0">
      <w:start w:val="4"/>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s>
  <w:rsids>
    <w:rsidRoot w:val="6E0629B8"/>
    <w:rsid w:val="00082586"/>
    <w:rsid w:val="000F72D2"/>
    <w:rsid w:val="001011D9"/>
    <w:rsid w:val="00130C30"/>
    <w:rsid w:val="00146CB7"/>
    <w:rsid w:val="001C6E0D"/>
    <w:rsid w:val="001F18EC"/>
    <w:rsid w:val="00202896"/>
    <w:rsid w:val="002459EA"/>
    <w:rsid w:val="00256EF2"/>
    <w:rsid w:val="00277D6F"/>
    <w:rsid w:val="00294A3F"/>
    <w:rsid w:val="002E42CD"/>
    <w:rsid w:val="0034754E"/>
    <w:rsid w:val="004D6213"/>
    <w:rsid w:val="004D63F9"/>
    <w:rsid w:val="00505C77"/>
    <w:rsid w:val="005552B4"/>
    <w:rsid w:val="00594734"/>
    <w:rsid w:val="0062252A"/>
    <w:rsid w:val="006C7E1F"/>
    <w:rsid w:val="006D1E5E"/>
    <w:rsid w:val="006F32E1"/>
    <w:rsid w:val="006F56A3"/>
    <w:rsid w:val="00700CD9"/>
    <w:rsid w:val="007145A2"/>
    <w:rsid w:val="0071674D"/>
    <w:rsid w:val="00746FB8"/>
    <w:rsid w:val="00753C1F"/>
    <w:rsid w:val="00754D53"/>
    <w:rsid w:val="00786283"/>
    <w:rsid w:val="00804868"/>
    <w:rsid w:val="008309E8"/>
    <w:rsid w:val="0088629E"/>
    <w:rsid w:val="008B442C"/>
    <w:rsid w:val="008C5421"/>
    <w:rsid w:val="008D499D"/>
    <w:rsid w:val="00952B83"/>
    <w:rsid w:val="00971A8F"/>
    <w:rsid w:val="009C1A3B"/>
    <w:rsid w:val="00A4586D"/>
    <w:rsid w:val="00A571EC"/>
    <w:rsid w:val="00A85722"/>
    <w:rsid w:val="00B36431"/>
    <w:rsid w:val="00B62515"/>
    <w:rsid w:val="00BB39ED"/>
    <w:rsid w:val="00C1697F"/>
    <w:rsid w:val="00CA06C7"/>
    <w:rsid w:val="00D66CE4"/>
    <w:rsid w:val="00D93CE6"/>
    <w:rsid w:val="00DE0696"/>
    <w:rsid w:val="00E1034B"/>
    <w:rsid w:val="00E3010A"/>
    <w:rsid w:val="00F210C2"/>
    <w:rsid w:val="00FB5C4F"/>
    <w:rsid w:val="00FC4E59"/>
    <w:rsid w:val="00FE695E"/>
    <w:rsid w:val="01C3517D"/>
    <w:rsid w:val="03A74F89"/>
    <w:rsid w:val="04F773C0"/>
    <w:rsid w:val="05FC1CCC"/>
    <w:rsid w:val="099D4981"/>
    <w:rsid w:val="0FF56409"/>
    <w:rsid w:val="15B77F45"/>
    <w:rsid w:val="1828588E"/>
    <w:rsid w:val="20AD4EDC"/>
    <w:rsid w:val="234A426B"/>
    <w:rsid w:val="240E79CF"/>
    <w:rsid w:val="28680563"/>
    <w:rsid w:val="28F23CA2"/>
    <w:rsid w:val="29D56857"/>
    <w:rsid w:val="2ED42292"/>
    <w:rsid w:val="336746EA"/>
    <w:rsid w:val="37884340"/>
    <w:rsid w:val="3DFF2C5A"/>
    <w:rsid w:val="3F011D81"/>
    <w:rsid w:val="412F6A9F"/>
    <w:rsid w:val="437B5EC5"/>
    <w:rsid w:val="46AB11C4"/>
    <w:rsid w:val="4D4C5D95"/>
    <w:rsid w:val="516E4A15"/>
    <w:rsid w:val="51813D26"/>
    <w:rsid w:val="52A95D4B"/>
    <w:rsid w:val="590A2302"/>
    <w:rsid w:val="5BE63A0F"/>
    <w:rsid w:val="64220C2D"/>
    <w:rsid w:val="650351EB"/>
    <w:rsid w:val="68E43F44"/>
    <w:rsid w:val="6B772914"/>
    <w:rsid w:val="6E0629B8"/>
    <w:rsid w:val="6E424713"/>
    <w:rsid w:val="7361073A"/>
    <w:rsid w:val="74DE323D"/>
    <w:rsid w:val="798E298F"/>
    <w:rsid w:val="79B54B66"/>
    <w:rsid w:val="7D49363A"/>
    <w:rsid w:val="7DC94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qFormat/>
    <w:uiPriority w:val="0"/>
  </w:style>
  <w:style w:type="paragraph" w:styleId="3">
    <w:name w:val="Balloon Text"/>
    <w:basedOn w:val="1"/>
    <w:link w:val="17"/>
    <w:qFormat/>
    <w:uiPriority w:val="0"/>
    <w:rPr>
      <w:sz w:val="18"/>
      <w:szCs w:val="18"/>
    </w:rPr>
  </w:style>
  <w:style w:type="paragraph" w:styleId="4">
    <w:name w:val="footer"/>
    <w:basedOn w:val="1"/>
    <w:qFormat/>
    <w:uiPriority w:val="99"/>
    <w:pPr>
      <w:tabs>
        <w:tab w:val="center" w:pos="4153"/>
        <w:tab w:val="right" w:pos="8306"/>
      </w:tabs>
      <w:jc w:val="center"/>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annotation subject"/>
    <w:basedOn w:val="2"/>
    <w:next w:val="2"/>
    <w:link w:val="15"/>
    <w:qFormat/>
    <w:uiPriority w:val="0"/>
    <w:rPr>
      <w:b/>
      <w:bCs/>
    </w:rPr>
  </w:style>
  <w:style w:type="table" w:styleId="8">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0">
    <w:name w:val="annotation reference"/>
    <w:basedOn w:val="9"/>
    <w:qFormat/>
    <w:uiPriority w:val="0"/>
    <w:rPr>
      <w:sz w:val="21"/>
      <w:szCs w:val="21"/>
    </w:rPr>
  </w:style>
  <w:style w:type="paragraph" w:styleId="11">
    <w:name w:val="List Paragraph"/>
    <w:basedOn w:val="1"/>
    <w:unhideWhenUsed/>
    <w:qFormat/>
    <w:uiPriority w:val="99"/>
    <w:pPr>
      <w:ind w:firstLine="420" w:firstLineChars="200"/>
    </w:p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
    <w:name w:val="修订1"/>
    <w:hidden/>
    <w:unhideWhenUsed/>
    <w:qFormat/>
    <w:uiPriority w:val="99"/>
    <w:rPr>
      <w:rFonts w:ascii="Arial" w:hAnsi="Arial" w:eastAsia="Arial" w:cs="Arial"/>
      <w:snapToGrid w:val="0"/>
      <w:color w:val="000000"/>
      <w:sz w:val="21"/>
      <w:szCs w:val="21"/>
      <w:lang w:val="en-US" w:eastAsia="zh-CN" w:bidi="ar-SA"/>
    </w:rPr>
  </w:style>
  <w:style w:type="character" w:customStyle="1" w:styleId="14">
    <w:name w:val="批注文字 字符"/>
    <w:basedOn w:val="9"/>
    <w:link w:val="2"/>
    <w:qFormat/>
    <w:uiPriority w:val="0"/>
    <w:rPr>
      <w:rFonts w:ascii="Arial" w:hAnsi="Arial" w:eastAsia="Arial" w:cs="Arial"/>
      <w:snapToGrid w:val="0"/>
      <w:color w:val="000000"/>
      <w:sz w:val="21"/>
      <w:szCs w:val="21"/>
    </w:rPr>
  </w:style>
  <w:style w:type="character" w:customStyle="1" w:styleId="15">
    <w:name w:val="批注主题 字符"/>
    <w:basedOn w:val="14"/>
    <w:link w:val="6"/>
    <w:qFormat/>
    <w:uiPriority w:val="0"/>
    <w:rPr>
      <w:rFonts w:ascii="Arial" w:hAnsi="Arial" w:eastAsia="Arial" w:cs="Arial"/>
      <w:b/>
      <w:bCs/>
      <w:snapToGrid w:val="0"/>
      <w:color w:val="000000"/>
      <w:sz w:val="21"/>
      <w:szCs w:val="21"/>
    </w:rPr>
  </w:style>
  <w:style w:type="paragraph" w:customStyle="1" w:styleId="16">
    <w:name w:val="修订2"/>
    <w:hidden/>
    <w:unhideWhenUsed/>
    <w:qFormat/>
    <w:uiPriority w:val="99"/>
    <w:rPr>
      <w:rFonts w:ascii="Arial" w:hAnsi="Arial" w:eastAsia="Arial" w:cs="Arial"/>
      <w:snapToGrid w:val="0"/>
      <w:color w:val="000000"/>
      <w:sz w:val="21"/>
      <w:szCs w:val="21"/>
      <w:lang w:val="en-US" w:eastAsia="zh-CN" w:bidi="ar-SA"/>
    </w:rPr>
  </w:style>
  <w:style w:type="character" w:customStyle="1" w:styleId="17">
    <w:name w:val="批注框文本 字符"/>
    <w:basedOn w:val="9"/>
    <w:link w:val="3"/>
    <w:qFormat/>
    <w:uiPriority w:val="0"/>
    <w:rPr>
      <w:rFonts w:ascii="Arial" w:hAnsi="Arial" w:eastAsia="Arial" w:cs="Arial"/>
      <w:snapToGrid w:val="0"/>
      <w:color w:val="000000"/>
      <w:sz w:val="18"/>
      <w:szCs w:val="18"/>
    </w:rPr>
  </w:style>
  <w:style w:type="paragraph" w:customStyle="1" w:styleId="18">
    <w:name w:val="Revision"/>
    <w:hidden/>
    <w:unhideWhenUsed/>
    <w:qFormat/>
    <w:uiPriority w:val="99"/>
    <w:rPr>
      <w:rFonts w:ascii="Arial" w:hAnsi="Arial" w:eastAsia="Arial" w:cs="Arial"/>
      <w:snapToGrid w:val="0"/>
      <w:color w:val="000000"/>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81222a01-ac74-4932-b76f-37ff68f75e22</errorID>
      <errorWord>(</errorWord>
      <group>L1_Format</group>
      <groupName>格式问题</groupName>
      <ability>L2_HalfPunc</ability>
      <abilityName>全半角检查</abilityName>
      <candidateList>
        <item>（</item>
      </candidateList>
      <explain>文本全半角错误。</explain>
      <paraID>5787D1AB</paraID>
      <start>21</start>
      <end>22</end>
      <status>unmodified</status>
      <modifiedWord/>
      <trackRevisions>false</trackRevisions>
    </reviewItem>
    <reviewItem>
      <errorID>677bc13c-aada-4b95-a5e8-4c62a8e2ae8f</errorID>
      <errorWord>)</errorWord>
      <group>L1_Format</group>
      <groupName>格式问题</groupName>
      <ability>L2_HalfPunc</ability>
      <abilityName>全半角检查</abilityName>
      <candidateList>
        <item>）</item>
      </candidateList>
      <explain>文本全半角错误。</explain>
      <paraID>5787D1AB</paraID>
      <start>30</start>
      <end>31</end>
      <status>unmodified</status>
      <modifiedWord/>
      <trackRevisions>false</trackRevisions>
    </reviewItem>
    <reviewItem>
      <errorID>52373154-eadb-44be-8799-cd90e9cb400c</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6DAB3920</paraID>
      <start>7</start>
      <end>10</end>
      <status>unmodified</status>
      <modifiedWord/>
      <trackRevisions>false</trackRevisions>
    </reviewItem>
    <reviewItem>
      <errorID>70111bc1-d2e5-4dce-b86e-9f999fbeaacc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6DAB3920</paraID>
      <start>10</start>
      <end>13</end>
      <status>unmodified</status>
      <modifiedWord/>
      <trackRevisions>false</trackRevisions>
    </reviewItem>
    <reviewItem>
      <errorID>d30599a5-bd95-4e6e-85c8-5cbd10d428dd</errorID>
      <errorWord>证券法</errorWord>
      <group>L1_Knowledge</group>
      <groupName>知识性问题</groupName>
      <ability>L2_Knowledge</ability>
      <abilityName>其他知识</abilityName>
      <candidateList>
        <item>中华人民共和国证券法</item>
      </candidateList>
      <explain>当前法律法规名称使用简称，请注意是否应当使用全称。</explain>
      <paraID>6DAB3920</paraID>
      <start>13</start>
      <end>16</end>
      <status>unmodified</status>
      <modifiedWord/>
      <trackRevisions>false</trackRevisions>
    </reviewItem>
    <reviewItem>
      <errorID>2b275f4a-211f-4d7f-aced-1dd5f2ed797f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6DAB3920</paraID>
      <start>16</start>
      <end>19</end>
      <status>unmodified</status>
      <modifiedWord/>
      <trackRevisions>false</trackRevisions>
    </reviewItem>
    <reviewItem>
      <errorID>e289b222-c271-4909-870d-d9e6001eff66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6DAB3920</paraID>
      <start>27</start>
      <end>30</end>
      <status>unmodified</status>
      <modifiedWord/>
      <trackRevisions>false</trackRevisions>
    </reviewItem>
    <reviewItem>
      <errorID>677e7b2b-7813-4254-b5ac-c6b0a961ddd5</errorID>
      <errorWord>持续保持着</errorWord>
      <group>L1_Word</group>
      <groupName>字词问题</groupName>
      <ability>L2_Typo</ability>
      <abilityName>字词错误</abilityName>
      <candidateList>
        <item>持续保持</item>
      </candidateList>
      <explain/>
      <paraID>6DAB3920</paraID>
      <start>67</start>
      <end>72</end>
      <status>unmodified</status>
      <modifiedWord/>
      <trackRevisions>false</trackRevisions>
    </reviewItem>
    <reviewItem>
      <errorID>9614b7d6-f3c4-4b3f-a11a-aff7b300b194</errorID>
      <errorWord>(</errorWord>
      <group>L1_Format</group>
      <groupName>格式问题</groupName>
      <ability>L2_HalfPunc</ability>
      <abilityName>全半角检查</abilityName>
      <candidateList>
        <item>（</item>
      </candidateList>
      <explain>文本全半角错误。</explain>
      <paraID>74032C8A</paraID>
      <start>19</start>
      <end>20</end>
      <status>unmodified</status>
      <modifiedWord/>
      <trackRevisions>false</trackRevisions>
    </reviewItem>
    <reviewItem>
      <errorID>bd2d0a40-6d6e-43b4-9bca-ff582fc8e054</errorID>
      <errorWord>)</errorWord>
      <group>L1_Format</group>
      <groupName>格式问题</groupName>
      <ability>L2_HalfPunc</ability>
      <abilityName>全半角检查</abilityName>
      <candidateList>
        <item>）</item>
      </candidateList>
      <explain>文本全半角错误。</explain>
      <paraID>74032C8A</paraID>
      <start>37</start>
      <end>38</end>
      <status>unmodified</status>
      <modifiedWord/>
      <trackRevisions>false</trackRevisions>
    </reviewItem>
    <reviewItem>
      <errorID>660d120e-0904-46c5-985e-1f474d4b470b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30A2F7B8</paraID>
      <start>0</start>
      <end>2</end>
      <status>unmodified</status>
      <modifiedWord/>
      <trackRevisions>false</trackRevisions>
    </reviewItem>
    <reviewItem>
      <errorID>7b9e0df5-b857-43dd-b4e0-a5b75529023e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41F57398</paraID>
      <start>51</start>
      <end>52</end>
      <status>unmodified</status>
      <modifiedWord/>
      <trackRevisions>false</trackRevisions>
    </reviewItem>
    <reviewItem>
      <errorID>814a2f32-cb16-4077-ab9d-e99f62980beb</errorID>
      <errorWord>年</errorWord>
      <group>L1_Word</group>
      <groupName>字词问题</groupName>
      <ability>L2_Typo</ability>
      <abilityName>字词错误</abilityName>
      <candidateList>
        <item>年度</item>
      </candidateList>
      <explain/>
      <paraID>41F57398</paraID>
      <start>83</start>
      <end>84</end>
      <status>unmodified</status>
      <modifiedWord/>
      <trackRevisions>false</trackRevisions>
    </reviewItem>
    <reviewItem>
      <errorID>c801ae49-d3f5-4d04-af8d-98d3f4023bcf</errorID>
      <errorWord>&lt;</errorWord>
      <group>L1_Format</group>
      <groupName>格式问题</groupName>
      <ability>L2_HalfPunc</ability>
      <abilityName>全半角检查</abilityName>
      <candidateList>
        <item>〈</item>
      </candidateList>
      <explain>文本全半角错误。</explain>
      <paraID>41F57398</paraID>
      <start>160</start>
      <end>161</end>
      <status>unmodified</status>
      <modifiedWord/>
      <trackRevisions>false</trackRevisions>
    </reviewItem>
    <reviewItem>
      <errorID>806164f1-9658-4b87-86d8-c107841606c2</errorID>
      <errorWord>&gt;</errorWord>
      <group>L1_Format</group>
      <groupName>格式问题</groupName>
      <ability>L2_HalfPunc</ability>
      <abilityName>全半角检查</abilityName>
      <candidateList>
        <item>〉</item>
      </candidateList>
      <explain>文本全半角错误。</explain>
      <paraID>41F57398</paraID>
      <start>184</start>
      <end>185</end>
      <status>unmodified</status>
      <modifiedWord/>
      <trackRevisions>false</trackRevisions>
    </reviewItem>
    <reviewItem>
      <errorID>cba06ab7-2e5b-4e4e-bfb0-947683b8ed72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41F57398</paraID>
      <start>348</start>
      <end>349</end>
      <status>unmodified</status>
      <modifiedWord/>
      <trackRevisions>false</trackRevisions>
    </reviewItem>
    <reviewItem>
      <errorID>8539d30e-b615-4e74-9b37-9c38b0f0e20d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4496F144</paraID>
      <start>0</start>
      <end>2</end>
      <status>unmodified</status>
      <modifiedWord/>
      <trackRevisions>false</trackRevisions>
    </reviewItem>
    <reviewItem>
      <errorID>ecaf9930-cf34-41b3-8c7f-8577ee624239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14ED70A1</paraID>
      <start>0</start>
      <end>2</end>
      <status>unmodified</status>
      <modifiedWord/>
      <trackRevisions>false</trackRevisions>
    </reviewItem>
    <reviewItem>
      <errorID>f42353f7-33d7-4076-8088-80e6fdb35050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2C6B573E</paraID>
      <start>0</start>
      <end>2</end>
      <status>unmodified</status>
      <modifiedWord/>
      <trackRevisions>false</trackRevisions>
    </reviewItem>
    <reviewItem>
      <errorID>105188e6-20f4-4168-a620-cae606fef62f</errorID>
      <errorWord>，</errorWord>
      <group>L1_Word</group>
      <groupName>字词问题</groupName>
      <ability>L2_Typo</ability>
      <abilityName>字词错误</abilityName>
      <candidateList>
        <item>，对</item>
      </candidateList>
      <explain/>
      <paraID> AAE5FB3</paraID>
      <start>101</start>
      <end>104</end>
      <status>modified</status>
      <modifiedWord>，对</modifiedWord>
      <trackRevisions>true</trackRevisions>
    </reviewItem>
    <reviewItem>
      <errorID>b51f985e-6393-46f6-ae96-352eebb5649b</errorID>
      <errorWord>,</errorWord>
      <group>L1_Format</group>
      <groupName>格式问题</groupName>
      <ability>L2_HalfPunc</ability>
      <abilityName>全半角检查</abilityName>
      <candidateList>
        <item>，</item>
      </candidateList>
      <explain>文本全半角错误。</explain>
      <paraID> 860031B</paraID>
      <start>79</start>
      <end>81</end>
      <status>modified</status>
      <modifiedWord>，</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17F39A-1A15-4C39-AF3C-331D229324E6}">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10</Pages>
  <Words>4104</Words>
  <Characters>4218</Characters>
  <Lines>123</Lines>
  <Paragraphs>84</Paragraphs>
  <TotalTime>6</TotalTime>
  <ScaleCrop>false</ScaleCrop>
  <LinksUpToDate>false</LinksUpToDate>
  <CharactersWithSpaces>4278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2024-04-07T03:10:00Z</dcterms:created>
  <dc:creator>Y.    Miss</dc:creator>
  <cp:lastModifiedBy>雯亦</cp:lastModifiedBy>
  <cp:lastPrinted>2024-04-25T06:44:00Z</cp:lastPrinted>
  <dcterms:modified xsi:type="dcterms:W3CDTF">2026-04-03T02:32:00Z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5A1266AF03C64FA1BEB1EC04333513E3_11</vt:lpwstr>
  </property>
  <property fmtid="{D5CDD505-2E9C-101B-9397-08002B2CF9AE}" pid="4" name="KSOTemplateDocerSaveRecord">
    <vt:lpwstr>eyJoZGlkIjoiZTQzZmRmZDMxMjkwMDE2NTk0ZWQ1ZWYwMzRmYjVhNmUiLCJ1c2VySWQiOiI2NDQwNzQxNTQifQ==</vt:lpwstr>
  </property>
</Properties>
</file>